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3.png" ContentType="image/png"/>
  <Override PartName="/word/media/image2.jpeg" ContentType="image/jpeg"/>
  <Override PartName="/word/media/image4.jpeg" ContentType="image/jpeg"/>
  <Override PartName="/word/media/image5.png" ContentType="image/png"/>
  <Override PartName="/word/media/image6.png" ContentType="image/png"/>
  <Override PartName="/word/media/image7.png" ContentType="image/pn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2"/>
        </w:numPr>
        <w:rPr>
          <w:rFonts w:ascii="Arial" w:hAnsi="Arial" w:cs="Arial"/>
          <w:b/>
          <w:b/>
          <w:bCs/>
          <w:sz w:val="28"/>
          <w:szCs w:val="28"/>
        </w:rPr>
      </w:pPr>
      <w:r>
        <mc:AlternateContent>
          <mc:Choice Requires="wps">
            <w:drawing>
              <wp:anchor behindDoc="0" distT="0" distB="0" distL="86995" distR="89535" simplePos="0" locked="0" layoutInCell="0" allowOverlap="1" relativeHeight="2">
                <wp:simplePos x="0" y="0"/>
                <wp:positionH relativeFrom="margin">
                  <wp:align>center</wp:align>
                </wp:positionH>
                <wp:positionV relativeFrom="paragraph">
                  <wp:posOffset>-113030</wp:posOffset>
                </wp:positionV>
                <wp:extent cx="6352540" cy="909320"/>
                <wp:effectExtent l="0" t="0" r="0" b="0"/>
                <wp:wrapSquare wrapText="bothSides"/>
                <wp:docPr id="1" name="Cornice1"/>
                <a:graphic xmlns:a="http://schemas.openxmlformats.org/drawingml/2006/main">
                  <a:graphicData uri="http://schemas.microsoft.com/office/word/2010/wordprocessingShape">
                    <wps:wsp>
                      <wps:cNvSpPr/>
                      <wps:spPr>
                        <a:xfrm>
                          <a:off x="0" y="0"/>
                          <a:ext cx="6351840" cy="908640"/>
                        </a:xfrm>
                        <a:prstGeom prst="rect">
                          <a:avLst/>
                        </a:prstGeom>
                        <a:solidFill>
                          <a:srgbClr val="ffffff"/>
                        </a:solidFill>
                        <a:ln w="0">
                          <a:noFill/>
                        </a:ln>
                      </wps:spPr>
                      <wps:style>
                        <a:lnRef idx="0"/>
                        <a:fillRef idx="0"/>
                        <a:effectRef idx="0"/>
                        <a:fontRef idx="minor"/>
                      </wps:style>
                      <wps:txbx>
                        <w:txbxContent>
                          <w:tbl>
                            <w:tblPr>
                              <w:tblW w:w="10010" w:type="dxa"/>
                              <w:jc w:val="left"/>
                              <w:tblInd w:w="0" w:type="dxa"/>
                              <w:tblLayout w:type="fixed"/>
                              <w:tblCellMar>
                                <w:top w:w="0" w:type="dxa"/>
                                <w:left w:w="70" w:type="dxa"/>
                                <w:bottom w:w="0" w:type="dxa"/>
                                <w:right w:w="70" w:type="dxa"/>
                              </w:tblCellMar>
                            </w:tblPr>
                            <w:tblGrid>
                              <w:gridCol w:w="3320"/>
                              <w:gridCol w:w="3693"/>
                              <w:gridCol w:w="2997"/>
                            </w:tblGrid>
                            <w:tr>
                              <w:trPr>
                                <w:trHeight w:val="1438" w:hRule="atLeast"/>
                              </w:trPr>
                              <w:tc>
                                <w:tcPr>
                                  <w:tcW w:w="3320" w:type="dxa"/>
                                  <w:tcBorders/>
                                </w:tcPr>
                                <w:p>
                                  <w:pPr>
                                    <w:pStyle w:val="Contenutocornice"/>
                                    <w:widowControl w:val="false"/>
                                    <w:spacing w:before="0" w:after="160"/>
                                    <w:rPr/>
                                  </w:pPr>
                                  <w:r>
                                    <w:rPr/>
                                    <w:drawing>
                                      <wp:inline distT="0" distB="0" distL="0" distR="0">
                                        <wp:extent cx="1233170" cy="847725"/>
                                        <wp:effectExtent l="0" t="0" r="0" b="0"/>
                                        <wp:docPr id="3"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1" descr=""/>
                                                <pic:cNvPicPr>
                                                  <a:picLocks noChangeAspect="1" noChangeArrowheads="1"/>
                                                </pic:cNvPicPr>
                                              </pic:nvPicPr>
                                              <pic:blipFill>
                                                <a:blip r:embed="rId2"/>
                                                <a:srcRect l="-230" t="-337" r="-230" b="-337"/>
                                                <a:stretch>
                                                  <a:fillRect/>
                                                </a:stretch>
                                              </pic:blipFill>
                                              <pic:spPr bwMode="auto">
                                                <a:xfrm>
                                                  <a:off x="0" y="0"/>
                                                  <a:ext cx="1233170" cy="847725"/>
                                                </a:xfrm>
                                                <a:prstGeom prst="rect">
                                                  <a:avLst/>
                                                </a:prstGeom>
                                              </pic:spPr>
                                            </pic:pic>
                                          </a:graphicData>
                                        </a:graphic>
                                      </wp:inline>
                                    </w:drawing>
                                  </w:r>
                                </w:p>
                              </w:tc>
                              <w:tc>
                                <w:tcPr>
                                  <w:tcW w:w="3693" w:type="dxa"/>
                                  <w:tcBorders/>
                                </w:tcPr>
                                <w:p>
                                  <w:pPr>
                                    <w:pStyle w:val="Contenutocornice"/>
                                    <w:widowControl w:val="false"/>
                                    <w:snapToGrid w:val="false"/>
                                    <w:jc w:val="right"/>
                                    <w:rPr>
                                      <w:sz w:val="8"/>
                                    </w:rPr>
                                  </w:pPr>
                                  <w:r>
                                    <w:rPr>
                                      <w:sz w:val="8"/>
                                    </w:rPr>
                                  </w:r>
                                </w:p>
                                <w:p>
                                  <w:pPr>
                                    <w:pStyle w:val="Contenutocornice"/>
                                    <w:widowControl w:val="false"/>
                                    <w:spacing w:before="0" w:after="160"/>
                                    <w:jc w:val="right"/>
                                    <w:rPr/>
                                  </w:pPr>
                                  <w:r>
                                    <w:rPr/>
                                    <w:drawing>
                                      <wp:inline distT="0" distB="0" distL="0" distR="0">
                                        <wp:extent cx="2276475" cy="712470"/>
                                        <wp:effectExtent l="0" t="0" r="0" b="0"/>
                                        <wp:docPr id="4"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2" descr=""/>
                                                <pic:cNvPicPr>
                                                  <a:picLocks noChangeAspect="1" noChangeArrowheads="1"/>
                                                </pic:cNvPicPr>
                                              </pic:nvPicPr>
                                              <pic:blipFill>
                                                <a:blip r:embed="rId3"/>
                                                <a:srcRect l="-196" t="-613" r="-196" b="-613"/>
                                                <a:stretch>
                                                  <a:fillRect/>
                                                </a:stretch>
                                              </pic:blipFill>
                                              <pic:spPr bwMode="auto">
                                                <a:xfrm>
                                                  <a:off x="0" y="0"/>
                                                  <a:ext cx="2276475" cy="712470"/>
                                                </a:xfrm>
                                                <a:prstGeom prst="rect">
                                                  <a:avLst/>
                                                </a:prstGeom>
                                              </pic:spPr>
                                            </pic:pic>
                                          </a:graphicData>
                                        </a:graphic>
                                      </wp:inline>
                                    </w:drawing>
                                  </w:r>
                                </w:p>
                              </w:tc>
                              <w:tc>
                                <w:tcPr>
                                  <w:tcW w:w="2997" w:type="dxa"/>
                                  <w:tcBorders/>
                                </w:tcPr>
                                <w:p>
                                  <w:pPr>
                                    <w:pStyle w:val="Contenutocornice"/>
                                    <w:widowControl w:val="false"/>
                                    <w:spacing w:before="0" w:after="160"/>
                                    <w:jc w:val="right"/>
                                    <w:rPr/>
                                  </w:pPr>
                                  <w:r>
                                    <w:rPr/>
                                    <w:drawing>
                                      <wp:inline distT="0" distB="0" distL="0" distR="0">
                                        <wp:extent cx="1130300" cy="797560"/>
                                        <wp:effectExtent l="0" t="0" r="0" b="0"/>
                                        <wp:docPr id="5"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3" descr=""/>
                                                <pic:cNvPicPr>
                                                  <a:picLocks noChangeAspect="1" noChangeArrowheads="1"/>
                                                </pic:cNvPicPr>
                                              </pic:nvPicPr>
                                              <pic:blipFill>
                                                <a:blip r:embed="rId4"/>
                                                <a:srcRect l="-33680" t="-136" r="-33702" b="-136"/>
                                                <a:stretch>
                                                  <a:fillRect/>
                                                </a:stretch>
                                              </pic:blipFill>
                                              <pic:spPr bwMode="auto">
                                                <a:xfrm>
                                                  <a:off x="0" y="0"/>
                                                  <a:ext cx="1130300" cy="797560"/>
                                                </a:xfrm>
                                                <a:prstGeom prst="rect">
                                                  <a:avLst/>
                                                </a:prstGeom>
                                              </pic:spPr>
                                            </pic:pic>
                                          </a:graphicData>
                                        </a:graphic>
                                      </wp:inline>
                                    </w:drawing>
                                  </w:r>
                                </w:p>
                              </w:tc>
                            </w:tr>
                          </w:tbl>
                          <w:p>
                            <w:pPr>
                              <w:pStyle w:val="Contenutocornice"/>
                              <w:spacing w:before="0" w:after="160"/>
                              <w:rPr/>
                            </w:pPr>
                            <w:r>
                              <w:rPr>
                                <w:color w:val="000000"/>
                              </w:rPr>
                              <w:t xml:space="preserve"> </w:t>
                            </w:r>
                          </w:p>
                        </w:txbxContent>
                      </wps:txbx>
                      <wps:bodyPr lIns="3960" rIns="3960" tIns="3960" bIns="3960">
                        <a:noAutofit/>
                      </wps:bodyPr>
                    </wps:wsp>
                  </a:graphicData>
                </a:graphic>
              </wp:anchor>
            </w:drawing>
          </mc:Choice>
          <mc:Fallback>
            <w:pict>
              <v:rect id="shape_0" ID="Cornice1" fillcolor="white" stroked="f" style="position:absolute;margin-left:-9.15pt;margin-top:-8.9pt;width:500.1pt;height:71.5pt;mso-wrap-style:square;v-text-anchor:top;mso-position-horizontal:center;mso-position-horizontal-relative:margin">
                <v:fill o:detectmouseclick="t" type="solid" color2="black"/>
                <v:stroke color="#3465a4" joinstyle="round" endcap="flat"/>
                <v:textbox>
                  <w:txbxContent>
                    <w:tbl>
                      <w:tblPr>
                        <w:tblW w:w="10010" w:type="dxa"/>
                        <w:jc w:val="left"/>
                        <w:tblInd w:w="0" w:type="dxa"/>
                        <w:tblLayout w:type="fixed"/>
                        <w:tblCellMar>
                          <w:top w:w="0" w:type="dxa"/>
                          <w:left w:w="70" w:type="dxa"/>
                          <w:bottom w:w="0" w:type="dxa"/>
                          <w:right w:w="70" w:type="dxa"/>
                        </w:tblCellMar>
                      </w:tblPr>
                      <w:tblGrid>
                        <w:gridCol w:w="3320"/>
                        <w:gridCol w:w="3693"/>
                        <w:gridCol w:w="2997"/>
                      </w:tblGrid>
                      <w:tr>
                        <w:trPr>
                          <w:trHeight w:val="1438" w:hRule="atLeast"/>
                        </w:trPr>
                        <w:tc>
                          <w:tcPr>
                            <w:tcW w:w="3320" w:type="dxa"/>
                            <w:tcBorders/>
                          </w:tcPr>
                          <w:p>
                            <w:pPr>
                              <w:pStyle w:val="Contenutocornice"/>
                              <w:widowControl w:val="false"/>
                              <w:spacing w:before="0" w:after="160"/>
                              <w:rPr/>
                            </w:pPr>
                            <w:r>
                              <w:rPr/>
                              <w:drawing>
                                <wp:inline distT="0" distB="0" distL="0" distR="0">
                                  <wp:extent cx="1233170" cy="847725"/>
                                  <wp:effectExtent l="0" t="0" r="0" b="0"/>
                                  <wp:docPr id="6"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1" descr=""/>
                                          <pic:cNvPicPr>
                                            <a:picLocks noChangeAspect="1" noChangeArrowheads="1"/>
                                          </pic:cNvPicPr>
                                        </pic:nvPicPr>
                                        <pic:blipFill>
                                          <a:blip r:embed="rId2"/>
                                          <a:srcRect l="-230" t="-337" r="-230" b="-337"/>
                                          <a:stretch>
                                            <a:fillRect/>
                                          </a:stretch>
                                        </pic:blipFill>
                                        <pic:spPr bwMode="auto">
                                          <a:xfrm>
                                            <a:off x="0" y="0"/>
                                            <a:ext cx="1233170" cy="847725"/>
                                          </a:xfrm>
                                          <a:prstGeom prst="rect">
                                            <a:avLst/>
                                          </a:prstGeom>
                                        </pic:spPr>
                                      </pic:pic>
                                    </a:graphicData>
                                  </a:graphic>
                                </wp:inline>
                              </w:drawing>
                            </w:r>
                          </w:p>
                        </w:tc>
                        <w:tc>
                          <w:tcPr>
                            <w:tcW w:w="3693" w:type="dxa"/>
                            <w:tcBorders/>
                          </w:tcPr>
                          <w:p>
                            <w:pPr>
                              <w:pStyle w:val="Contenutocornice"/>
                              <w:widowControl w:val="false"/>
                              <w:snapToGrid w:val="false"/>
                              <w:jc w:val="right"/>
                              <w:rPr>
                                <w:sz w:val="8"/>
                              </w:rPr>
                            </w:pPr>
                            <w:r>
                              <w:rPr>
                                <w:sz w:val="8"/>
                              </w:rPr>
                            </w:r>
                          </w:p>
                          <w:p>
                            <w:pPr>
                              <w:pStyle w:val="Contenutocornice"/>
                              <w:widowControl w:val="false"/>
                              <w:spacing w:before="0" w:after="160"/>
                              <w:jc w:val="right"/>
                              <w:rPr/>
                            </w:pPr>
                            <w:r>
                              <w:rPr/>
                              <w:drawing>
                                <wp:inline distT="0" distB="0" distL="0" distR="0">
                                  <wp:extent cx="2276475" cy="712470"/>
                                  <wp:effectExtent l="0" t="0" r="0" b="0"/>
                                  <wp:docPr id="7"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2" descr=""/>
                                          <pic:cNvPicPr>
                                            <a:picLocks noChangeAspect="1" noChangeArrowheads="1"/>
                                          </pic:cNvPicPr>
                                        </pic:nvPicPr>
                                        <pic:blipFill>
                                          <a:blip r:embed="rId3"/>
                                          <a:srcRect l="-196" t="-613" r="-196" b="-613"/>
                                          <a:stretch>
                                            <a:fillRect/>
                                          </a:stretch>
                                        </pic:blipFill>
                                        <pic:spPr bwMode="auto">
                                          <a:xfrm>
                                            <a:off x="0" y="0"/>
                                            <a:ext cx="2276475" cy="712470"/>
                                          </a:xfrm>
                                          <a:prstGeom prst="rect">
                                            <a:avLst/>
                                          </a:prstGeom>
                                        </pic:spPr>
                                      </pic:pic>
                                    </a:graphicData>
                                  </a:graphic>
                                </wp:inline>
                              </w:drawing>
                            </w:r>
                          </w:p>
                        </w:tc>
                        <w:tc>
                          <w:tcPr>
                            <w:tcW w:w="2997" w:type="dxa"/>
                            <w:tcBorders/>
                          </w:tcPr>
                          <w:p>
                            <w:pPr>
                              <w:pStyle w:val="Contenutocornice"/>
                              <w:widowControl w:val="false"/>
                              <w:spacing w:before="0" w:after="160"/>
                              <w:jc w:val="right"/>
                              <w:rPr/>
                            </w:pPr>
                            <w:r>
                              <w:rPr/>
                              <w:drawing>
                                <wp:inline distT="0" distB="0" distL="0" distR="0">
                                  <wp:extent cx="1130300" cy="797560"/>
                                  <wp:effectExtent l="0" t="0" r="0" b="0"/>
                                  <wp:docPr id="8"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3" descr=""/>
                                          <pic:cNvPicPr>
                                            <a:picLocks noChangeAspect="1" noChangeArrowheads="1"/>
                                          </pic:cNvPicPr>
                                        </pic:nvPicPr>
                                        <pic:blipFill>
                                          <a:blip r:embed="rId4"/>
                                          <a:srcRect l="-33680" t="-136" r="-33702" b="-136"/>
                                          <a:stretch>
                                            <a:fillRect/>
                                          </a:stretch>
                                        </pic:blipFill>
                                        <pic:spPr bwMode="auto">
                                          <a:xfrm>
                                            <a:off x="0" y="0"/>
                                            <a:ext cx="1130300" cy="797560"/>
                                          </a:xfrm>
                                          <a:prstGeom prst="rect">
                                            <a:avLst/>
                                          </a:prstGeom>
                                        </pic:spPr>
                                      </pic:pic>
                                    </a:graphicData>
                                  </a:graphic>
                                </wp:inline>
                              </w:drawing>
                            </w:r>
                          </w:p>
                        </w:tc>
                      </w:tr>
                    </w:tbl>
                    <w:p>
                      <w:pPr>
                        <w:pStyle w:val="Contenutocornice"/>
                        <w:spacing w:before="0" w:after="160"/>
                        <w:rPr/>
                      </w:pPr>
                      <w:r>
                        <w:rPr>
                          <w:color w:val="000000"/>
                        </w:rPr>
                        <w:t xml:space="preserve"> </w:t>
                      </w:r>
                    </w:p>
                  </w:txbxContent>
                </v:textbox>
                <w10:wrap type="square"/>
              </v:rect>
            </w:pict>
          </mc:Fallback>
        </mc:AlternateContent>
        <mc:AlternateContent>
          <mc:Choice Requires="wps">
            <w:drawing>
              <wp:anchor behindDoc="0" distT="0" distB="0" distL="112395" distR="114935" simplePos="0" locked="0" layoutInCell="0" allowOverlap="1" relativeHeight="3">
                <wp:simplePos x="0" y="0"/>
                <wp:positionH relativeFrom="column">
                  <wp:posOffset>2628900</wp:posOffset>
                </wp:positionH>
                <wp:positionV relativeFrom="paragraph">
                  <wp:posOffset>800100</wp:posOffset>
                </wp:positionV>
                <wp:extent cx="1824990" cy="2084070"/>
                <wp:effectExtent l="0" t="0" r="0" b="0"/>
                <wp:wrapSquare wrapText="bothSides"/>
                <wp:docPr id="9" name="Cornice2"/>
                <a:graphic xmlns:a="http://schemas.openxmlformats.org/drawingml/2006/main">
                  <a:graphicData uri="http://schemas.microsoft.com/office/word/2010/wordprocessingShape">
                    <wps:wsp>
                      <wps:cNvSpPr/>
                      <wps:spPr>
                        <a:xfrm>
                          <a:off x="0" y="0"/>
                          <a:ext cx="1824480" cy="2083320"/>
                        </a:xfrm>
                        <a:prstGeom prst="rect">
                          <a:avLst/>
                        </a:prstGeom>
                        <a:solidFill>
                          <a:srgbClr val="ffffff"/>
                        </a:solidFill>
                        <a:ln w="0">
                          <a:noFill/>
                        </a:ln>
                      </wps:spPr>
                      <wps:style>
                        <a:lnRef idx="0"/>
                        <a:fillRef idx="0"/>
                        <a:effectRef idx="0"/>
                        <a:fontRef idx="minor"/>
                      </wps:style>
                      <wps:txbx>
                        <w:txbxContent>
                          <w:p>
                            <w:pPr>
                              <w:pStyle w:val="Contenutocornice"/>
                              <w:spacing w:before="0" w:after="160"/>
                              <w:rPr>
                                <w:color w:val="000000"/>
                              </w:rPr>
                            </w:pPr>
                            <w:r>
                              <w:rPr>
                                <w:color w:val="000000"/>
                              </w:rPr>
                              <w:drawing>
                                <wp:inline distT="0" distB="0" distL="0" distR="0">
                                  <wp:extent cx="1818005" cy="2068195"/>
                                  <wp:effectExtent l="0" t="0" r="0" b="0"/>
                                  <wp:docPr id="11"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4" descr=""/>
                                          <pic:cNvPicPr>
                                            <a:picLocks noChangeAspect="1" noChangeArrowheads="1"/>
                                          </pic:cNvPicPr>
                                        </pic:nvPicPr>
                                        <pic:blipFill>
                                          <a:blip r:embed="rId5"/>
                                          <a:srcRect l="-70" t="-62" r="-70" b="-62"/>
                                          <a:stretch>
                                            <a:fillRect/>
                                          </a:stretch>
                                        </pic:blipFill>
                                        <pic:spPr bwMode="auto">
                                          <a:xfrm>
                                            <a:off x="0" y="0"/>
                                            <a:ext cx="1818005" cy="2068195"/>
                                          </a:xfrm>
                                          <a:prstGeom prst="rect">
                                            <a:avLst/>
                                          </a:prstGeom>
                                        </pic:spPr>
                                      </pic:pic>
                                    </a:graphicData>
                                  </a:graphic>
                                </wp:inline>
                              </w:drawing>
                            </w:r>
                          </w:p>
                        </w:txbxContent>
                      </wps:txbx>
                      <wps:bodyPr lIns="3960" rIns="3960" tIns="3960" bIns="3960">
                        <a:noAutofit/>
                      </wps:bodyPr>
                    </wps:wsp>
                  </a:graphicData>
                </a:graphic>
              </wp:anchor>
            </w:drawing>
          </mc:Choice>
          <mc:Fallback>
            <w:pict>
              <v:rect id="shape_0" ID="Cornice2" fillcolor="white" stroked="f" style="position:absolute;margin-left:207pt;margin-top:63pt;width:143.6pt;height:164pt;mso-wrap-style:none;v-text-anchor:middle">
                <v:fill o:detectmouseclick="t" type="solid" color2="black"/>
                <v:stroke color="#3465a4" joinstyle="round" endcap="flat"/>
                <v:textbox>
                  <w:txbxContent>
                    <w:p>
                      <w:pPr>
                        <w:pStyle w:val="Contenutocornice"/>
                        <w:spacing w:before="0" w:after="160"/>
                        <w:rPr>
                          <w:color w:val="000000"/>
                        </w:rPr>
                      </w:pPr>
                      <w:r>
                        <w:rPr>
                          <w:color w:val="000000"/>
                        </w:rPr>
                        <w:drawing>
                          <wp:inline distT="0" distB="0" distL="0" distR="0">
                            <wp:extent cx="1818005" cy="2068195"/>
                            <wp:effectExtent l="0" t="0" r="0" b="0"/>
                            <wp:docPr id="12"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4" descr=""/>
                                    <pic:cNvPicPr>
                                      <a:picLocks noChangeAspect="1" noChangeArrowheads="1"/>
                                    </pic:cNvPicPr>
                                  </pic:nvPicPr>
                                  <pic:blipFill>
                                    <a:blip r:embed="rId5"/>
                                    <a:srcRect l="-70" t="-62" r="-70" b="-62"/>
                                    <a:stretch>
                                      <a:fillRect/>
                                    </a:stretch>
                                  </pic:blipFill>
                                  <pic:spPr bwMode="auto">
                                    <a:xfrm>
                                      <a:off x="0" y="0"/>
                                      <a:ext cx="1818005" cy="2068195"/>
                                    </a:xfrm>
                                    <a:prstGeom prst="rect">
                                      <a:avLst/>
                                    </a:prstGeom>
                                  </pic:spPr>
                                </pic:pic>
                              </a:graphicData>
                            </a:graphic>
                          </wp:inline>
                        </w:drawing>
                      </w:r>
                    </w:p>
                  </w:txbxContent>
                </v:textbox>
                <w10:wrap type="square"/>
              </v:rect>
            </w:pict>
          </mc:Fallback>
        </mc:AlternateContent>
      </w:r>
      <w:r>
        <w:rPr>
          <w:rFonts w:cs="Arial" w:ascii="Arial" w:hAnsi="Arial"/>
          <w:b/>
          <w:bCs/>
          <w:sz w:val="28"/>
          <w:szCs w:val="28"/>
        </w:rPr>
        <w:tab/>
        <w:tab/>
      </w:r>
    </w:p>
    <w:p>
      <w:pPr>
        <w:pStyle w:val="Normal"/>
        <w:numPr>
          <w:ilvl w:val="0"/>
          <w:numId w:val="2"/>
        </w:numPr>
        <w:rPr>
          <w:rFonts w:ascii="Arial" w:hAnsi="Arial" w:cs="Arial"/>
          <w:b/>
          <w:b/>
          <w:bCs/>
          <w:sz w:val="28"/>
          <w:szCs w:val="28"/>
        </w:rPr>
      </w:pPr>
      <w:r>
        <w:rPr>
          <w:rFonts w:cs="Arial" w:ascii="Arial" w:hAnsi="Arial"/>
          <w:b/>
          <w:bCs/>
          <w:sz w:val="28"/>
          <w:szCs w:val="28"/>
        </w:rPr>
      </w:r>
    </w:p>
    <w:p>
      <w:pPr>
        <w:pStyle w:val="Normal"/>
        <w:numPr>
          <w:ilvl w:val="0"/>
          <w:numId w:val="2"/>
        </w:numPr>
        <w:jc w:val="center"/>
        <w:rPr>
          <w:rFonts w:ascii="Arial" w:hAnsi="Arial" w:cs="Arial"/>
          <w:b/>
          <w:b/>
          <w:bCs/>
          <w:sz w:val="28"/>
          <w:szCs w:val="28"/>
        </w:rPr>
      </w:pPr>
      <w:r>
        <w:rPr>
          <w:rFonts w:cs="Arial" w:ascii="Arial" w:hAnsi="Arial"/>
          <w:b/>
          <w:bCs/>
          <w:sz w:val="28"/>
          <w:szCs w:val="28"/>
        </w:rPr>
      </w:r>
    </w:p>
    <w:p>
      <w:pPr>
        <w:pStyle w:val="Normal"/>
        <w:numPr>
          <w:ilvl w:val="0"/>
          <w:numId w:val="2"/>
        </w:numPr>
        <w:jc w:val="center"/>
        <w:rPr>
          <w:rFonts w:ascii="Arial" w:hAnsi="Arial" w:cs="Arial"/>
          <w:b/>
          <w:b/>
          <w:bCs/>
          <w:sz w:val="28"/>
          <w:szCs w:val="28"/>
        </w:rPr>
      </w:pPr>
      <w:r>
        <w:rPr>
          <w:rFonts w:cs="Arial" w:ascii="Arial" w:hAnsi="Arial"/>
          <w:b/>
          <w:bCs/>
          <w:sz w:val="28"/>
          <w:szCs w:val="28"/>
        </w:rPr>
      </w:r>
    </w:p>
    <w:p>
      <w:pPr>
        <w:pStyle w:val="Normal"/>
        <w:numPr>
          <w:ilvl w:val="0"/>
          <w:numId w:val="2"/>
        </w:numPr>
        <w:jc w:val="center"/>
        <w:rPr>
          <w:rFonts w:ascii="Arial" w:hAnsi="Arial" w:cs="Arial"/>
          <w:b/>
          <w:b/>
          <w:bCs/>
          <w:sz w:val="28"/>
          <w:szCs w:val="28"/>
        </w:rPr>
      </w:pPr>
      <w:r>
        <w:rPr>
          <w:rFonts w:cs="Arial" w:ascii="Arial" w:hAnsi="Arial"/>
          <w:b/>
          <w:bCs/>
          <w:sz w:val="28"/>
          <w:szCs w:val="28"/>
        </w:rPr>
      </w:r>
    </w:p>
    <w:p>
      <w:pPr>
        <w:pStyle w:val="Normal"/>
        <w:numPr>
          <w:ilvl w:val="0"/>
          <w:numId w:val="2"/>
        </w:numPr>
        <w:jc w:val="center"/>
        <w:rPr>
          <w:rFonts w:ascii="Arial" w:hAnsi="Arial" w:cs="Arial"/>
          <w:b/>
          <w:b/>
          <w:bCs/>
          <w:sz w:val="28"/>
          <w:szCs w:val="28"/>
        </w:rPr>
      </w:pPr>
      <w:r>
        <w:rPr>
          <w:rFonts w:cs="Arial" w:ascii="Arial" w:hAnsi="Arial"/>
          <w:b/>
          <w:bCs/>
          <w:sz w:val="28"/>
          <w:szCs w:val="28"/>
        </w:rPr>
      </w:r>
    </w:p>
    <w:p>
      <w:pPr>
        <w:pStyle w:val="Normal"/>
        <w:numPr>
          <w:ilvl w:val="0"/>
          <w:numId w:val="2"/>
        </w:numPr>
        <w:jc w:val="center"/>
        <w:rPr>
          <w:rFonts w:ascii="Arial" w:hAnsi="Arial" w:cs="Arial"/>
          <w:b/>
          <w:b/>
          <w:bCs/>
          <w:sz w:val="28"/>
          <w:szCs w:val="28"/>
        </w:rPr>
      </w:pPr>
      <w:r>
        <w:rPr>
          <w:rFonts w:cs="Arial" w:ascii="Arial" w:hAnsi="Arial"/>
          <w:b/>
          <w:bCs/>
          <w:sz w:val="28"/>
          <w:szCs w:val="28"/>
        </w:rPr>
      </w:r>
    </w:p>
    <w:p>
      <w:pPr>
        <w:pStyle w:val="Normal"/>
        <w:numPr>
          <w:ilvl w:val="0"/>
          <w:numId w:val="2"/>
        </w:numPr>
        <w:jc w:val="center"/>
        <w:rPr>
          <w:b/>
          <w:b/>
          <w:bCs/>
          <w:sz w:val="28"/>
          <w:szCs w:val="28"/>
        </w:rPr>
      </w:pPr>
      <w:r>
        <w:rPr>
          <w:b/>
          <w:bCs/>
          <w:sz w:val="28"/>
          <w:szCs w:val="28"/>
        </w:rPr>
      </w:r>
    </w:p>
    <w:p>
      <w:pPr>
        <w:pStyle w:val="Normal"/>
        <w:numPr>
          <w:ilvl w:val="0"/>
          <w:numId w:val="2"/>
        </w:numPr>
        <w:jc w:val="center"/>
        <w:rPr>
          <w:b/>
          <w:b/>
          <w:bCs/>
          <w:sz w:val="28"/>
          <w:szCs w:val="28"/>
        </w:rPr>
      </w:pPr>
      <w:r>
        <w:rPr>
          <w:b/>
          <w:bCs/>
          <w:sz w:val="28"/>
          <w:szCs w:val="28"/>
        </w:rPr>
      </w:r>
    </w:p>
    <w:p>
      <w:pPr>
        <w:pStyle w:val="Normal"/>
        <w:numPr>
          <w:ilvl w:val="0"/>
          <w:numId w:val="2"/>
        </w:numPr>
        <w:jc w:val="center"/>
        <w:rPr>
          <w:b/>
          <w:b/>
          <w:bCs/>
          <w:sz w:val="28"/>
          <w:szCs w:val="28"/>
        </w:rPr>
      </w:pPr>
      <w:r>
        <w:rPr>
          <w:b/>
          <w:bCs/>
          <w:sz w:val="28"/>
          <w:szCs w:val="28"/>
        </w:rPr>
        <w:t xml:space="preserve">PROPOSTA DI MODIFICHE AL </w:t>
      </w:r>
    </w:p>
    <w:p>
      <w:pPr>
        <w:pStyle w:val="Normal"/>
        <w:numPr>
          <w:ilvl w:val="0"/>
          <w:numId w:val="2"/>
        </w:numPr>
        <w:jc w:val="center"/>
        <w:rPr>
          <w:b/>
          <w:b/>
          <w:bCs/>
          <w:sz w:val="28"/>
          <w:szCs w:val="28"/>
        </w:rPr>
      </w:pPr>
      <w:r>
        <w:rPr>
          <w:b/>
          <w:bCs/>
          <w:sz w:val="28"/>
          <w:szCs w:val="28"/>
        </w:rPr>
        <w:t>PROGRAMMA DI SVILUPPO RURALE 2014 - 2022</w:t>
      </w:r>
    </w:p>
    <w:p>
      <w:pPr>
        <w:pStyle w:val="Normal"/>
        <w:numPr>
          <w:ilvl w:val="0"/>
          <w:numId w:val="2"/>
        </w:numPr>
        <w:jc w:val="center"/>
        <w:rPr>
          <w:b/>
          <w:b/>
          <w:bCs/>
          <w:color w:val="FF0000"/>
          <w:sz w:val="28"/>
          <w:szCs w:val="28"/>
        </w:rPr>
      </w:pPr>
      <w:r>
        <w:rPr>
          <w:b/>
          <w:bCs/>
          <w:color w:val="FF0000"/>
          <w:sz w:val="28"/>
          <w:szCs w:val="28"/>
        </w:rPr>
      </w:r>
    </w:p>
    <w:p>
      <w:pPr>
        <w:pStyle w:val="Normal"/>
        <w:numPr>
          <w:ilvl w:val="0"/>
          <w:numId w:val="2"/>
        </w:numPr>
        <w:jc w:val="center"/>
        <w:rPr>
          <w:b/>
          <w:b/>
          <w:bCs/>
          <w:color w:val="FF0000"/>
          <w:sz w:val="28"/>
          <w:szCs w:val="28"/>
        </w:rPr>
      </w:pPr>
      <w:r>
        <w:rPr>
          <w:b/>
          <w:bCs/>
          <w:color w:val="FF0000"/>
          <w:sz w:val="28"/>
          <w:szCs w:val="28"/>
        </w:rPr>
      </w:r>
    </w:p>
    <w:p>
      <w:pPr>
        <w:pStyle w:val="Normal"/>
        <w:numPr>
          <w:ilvl w:val="0"/>
          <w:numId w:val="2"/>
        </w:numPr>
        <w:rPr>
          <w:b/>
          <w:b/>
          <w:bCs/>
          <w:color w:val="FF0000"/>
          <w:sz w:val="28"/>
          <w:szCs w:val="28"/>
        </w:rPr>
      </w:pPr>
      <w:r>
        <w:rPr>
          <w:b/>
          <w:bCs/>
          <w:color w:val="FF0000"/>
          <w:sz w:val="28"/>
          <w:szCs w:val="28"/>
        </w:rPr>
      </w:r>
    </w:p>
    <w:p>
      <w:pPr>
        <w:pStyle w:val="Normal"/>
        <w:numPr>
          <w:ilvl w:val="0"/>
          <w:numId w:val="2"/>
        </w:numPr>
        <w:rPr/>
      </w:pPr>
      <w:r>
        <w:rPr>
          <w:sz w:val="28"/>
          <w:szCs w:val="28"/>
        </w:rPr>
        <w:t xml:space="preserve">STATO MEMBRO: </w:t>
        <w:tab/>
        <w:tab/>
      </w:r>
      <w:r>
        <w:rPr>
          <w:b/>
          <w:bCs/>
          <w:sz w:val="28"/>
          <w:szCs w:val="28"/>
        </w:rPr>
        <w:t>ITALIA</w:t>
      </w:r>
    </w:p>
    <w:p>
      <w:pPr>
        <w:pStyle w:val="Normal"/>
        <w:numPr>
          <w:ilvl w:val="0"/>
          <w:numId w:val="2"/>
        </w:numPr>
        <w:rPr>
          <w:sz w:val="28"/>
          <w:szCs w:val="28"/>
        </w:rPr>
      </w:pPr>
      <w:r>
        <w:rPr>
          <w:sz w:val="28"/>
          <w:szCs w:val="28"/>
        </w:rPr>
        <w:tab/>
        <w:tab/>
        <w:tab/>
        <w:tab/>
      </w:r>
    </w:p>
    <w:p>
      <w:pPr>
        <w:pStyle w:val="Normal"/>
        <w:numPr>
          <w:ilvl w:val="0"/>
          <w:numId w:val="2"/>
        </w:numPr>
        <w:rPr/>
      </w:pPr>
      <w:r>
        <w:rPr>
          <w:sz w:val="28"/>
          <w:szCs w:val="28"/>
        </w:rPr>
        <w:t>REGIONE:</w:t>
        <w:tab/>
        <w:tab/>
        <w:tab/>
      </w:r>
      <w:r>
        <w:rPr>
          <w:b/>
          <w:bCs/>
          <w:sz w:val="28"/>
          <w:szCs w:val="28"/>
        </w:rPr>
        <w:t>PIEMONTE</w:t>
      </w:r>
    </w:p>
    <w:p>
      <w:pPr>
        <w:pStyle w:val="Normal"/>
        <w:numPr>
          <w:ilvl w:val="0"/>
          <w:numId w:val="2"/>
        </w:numPr>
        <w:rPr>
          <w:sz w:val="28"/>
          <w:szCs w:val="28"/>
        </w:rPr>
      </w:pPr>
      <w:r>
        <w:rPr>
          <w:sz w:val="28"/>
          <w:szCs w:val="28"/>
        </w:rPr>
      </w:r>
    </w:p>
    <w:p>
      <w:pPr>
        <w:pStyle w:val="Normal"/>
        <w:numPr>
          <w:ilvl w:val="0"/>
          <w:numId w:val="2"/>
        </w:numPr>
        <w:rPr>
          <w:b/>
          <w:b/>
          <w:bCs/>
          <w:sz w:val="28"/>
          <w:szCs w:val="28"/>
        </w:rPr>
      </w:pPr>
      <w:r>
        <w:rPr>
          <w:b/>
          <w:bCs/>
          <w:sz w:val="28"/>
          <w:szCs w:val="28"/>
        </w:rPr>
      </w:r>
    </w:p>
    <w:p>
      <w:pPr>
        <w:pStyle w:val="Normal"/>
        <w:numPr>
          <w:ilvl w:val="0"/>
          <w:numId w:val="2"/>
        </w:numPr>
        <w:ind w:left="2832" w:right="0" w:hanging="2832"/>
        <w:jc w:val="center"/>
        <w:rPr/>
      </w:pPr>
      <w:r>
        <w:rPr>
          <w:sz w:val="28"/>
          <w:szCs w:val="28"/>
        </w:rPr>
        <w:t xml:space="preserve">Programma: </w:t>
        <w:tab/>
      </w:r>
      <w:r>
        <w:rPr>
          <w:b/>
          <w:bCs/>
          <w:sz w:val="28"/>
          <w:szCs w:val="28"/>
        </w:rPr>
        <w:t>Programma di Sviluppo Rurale 2014-2020 della Regione Piemonte C(2015)7456 del 28/10/2015</w:t>
      </w:r>
    </w:p>
    <w:p>
      <w:pPr>
        <w:pStyle w:val="Normal"/>
        <w:numPr>
          <w:ilvl w:val="0"/>
          <w:numId w:val="2"/>
        </w:numPr>
        <w:jc w:val="center"/>
        <w:rPr>
          <w:rFonts w:ascii="Calibri-Bold" w:hAnsi="Calibri-Bold" w:cs="Calibri"/>
          <w:b/>
          <w:b/>
          <w:bCs/>
          <w:sz w:val="24"/>
          <w:szCs w:val="24"/>
          <w:u w:val="single"/>
        </w:rPr>
      </w:pPr>
      <w:r>
        <w:rPr>
          <w:rFonts w:cs="Calibri" w:ascii="Calibri-Bold" w:hAnsi="Calibri-Bold"/>
          <w:b/>
          <w:bCs/>
          <w:sz w:val="24"/>
          <w:szCs w:val="24"/>
          <w:u w:val="single"/>
        </w:rPr>
      </w:r>
    </w:p>
    <w:p>
      <w:pPr>
        <w:pStyle w:val="Normal"/>
        <w:numPr>
          <w:ilvl w:val="0"/>
          <w:numId w:val="2"/>
        </w:numPr>
        <w:jc w:val="center"/>
        <w:rPr>
          <w:rFonts w:ascii="Calibri-Bold" w:hAnsi="Calibri-Bold" w:cs="Calibri"/>
          <w:b/>
          <w:b/>
          <w:bCs/>
          <w:sz w:val="24"/>
          <w:szCs w:val="24"/>
          <w:u w:val="single"/>
        </w:rPr>
      </w:pPr>
      <w:r>
        <w:rPr>
          <w:rFonts w:cs="Calibri" w:ascii="Calibri-Bold" w:hAnsi="Calibri-Bold"/>
          <w:b/>
          <w:bCs/>
          <w:sz w:val="24"/>
          <w:szCs w:val="24"/>
          <w:u w:val="single"/>
        </w:rPr>
      </w:r>
    </w:p>
    <w:p>
      <w:pPr>
        <w:pStyle w:val="Normal"/>
        <w:numPr>
          <w:ilvl w:val="0"/>
          <w:numId w:val="2"/>
        </w:numPr>
        <w:jc w:val="center"/>
        <w:rPr>
          <w:rFonts w:ascii="Calibri-Bold" w:hAnsi="Calibri-Bold" w:cs="Calibri"/>
          <w:b/>
          <w:b/>
          <w:bCs/>
          <w:sz w:val="24"/>
          <w:szCs w:val="24"/>
          <w:u w:val="single"/>
        </w:rPr>
      </w:pPr>
      <w:r>
        <w:rPr>
          <w:rFonts w:cs="Calibri" w:ascii="Calibri-Bold" w:hAnsi="Calibri-Bold"/>
          <w:b/>
          <w:bCs/>
          <w:sz w:val="24"/>
          <w:szCs w:val="24"/>
          <w:u w:val="single"/>
        </w:rPr>
      </w:r>
    </w:p>
    <w:p>
      <w:pPr>
        <w:pStyle w:val="Normal"/>
        <w:numPr>
          <w:ilvl w:val="0"/>
          <w:numId w:val="2"/>
        </w:numPr>
        <w:jc w:val="center"/>
        <w:rPr>
          <w:rFonts w:ascii="Calibri-Bold" w:hAnsi="Calibri-Bold" w:cs="Calibri"/>
          <w:b/>
          <w:b/>
          <w:bCs/>
          <w:sz w:val="24"/>
          <w:szCs w:val="24"/>
          <w:u w:val="single"/>
        </w:rPr>
      </w:pPr>
      <w:r>
        <w:rPr>
          <w:rFonts w:cs="Calibri" w:ascii="Calibri-Bold" w:hAnsi="Calibri-Bold"/>
          <w:b/>
          <w:bCs/>
          <w:sz w:val="24"/>
          <w:szCs w:val="24"/>
          <w:u w:val="single"/>
        </w:rPr>
      </w:r>
    </w:p>
    <w:p>
      <w:pPr>
        <w:pStyle w:val="Normal"/>
        <w:numPr>
          <w:ilvl w:val="0"/>
          <w:numId w:val="2"/>
        </w:numPr>
        <w:jc w:val="center"/>
        <w:rPr>
          <w:rFonts w:ascii="Calibri-Bold" w:hAnsi="Calibri-Bold" w:cs="Calibri"/>
          <w:b/>
          <w:b/>
          <w:bCs/>
          <w:sz w:val="24"/>
          <w:szCs w:val="24"/>
          <w:u w:val="single"/>
        </w:rPr>
      </w:pPr>
      <w:r>
        <w:rPr>
          <w:rFonts w:cs="Calibri" w:ascii="Calibri-Bold" w:hAnsi="Calibri-Bold"/>
          <w:b/>
          <w:bCs/>
          <w:sz w:val="24"/>
          <w:szCs w:val="24"/>
          <w:u w:val="single"/>
        </w:rPr>
      </w:r>
    </w:p>
    <w:p>
      <w:pPr>
        <w:pStyle w:val="Normal"/>
        <w:numPr>
          <w:ilvl w:val="0"/>
          <w:numId w:val="2"/>
        </w:numPr>
        <w:jc w:val="center"/>
        <w:rPr>
          <w:rFonts w:ascii="Calibri-Bold" w:hAnsi="Calibri-Bold" w:cs="Calibri"/>
          <w:b/>
          <w:b/>
          <w:bCs/>
          <w:sz w:val="24"/>
          <w:szCs w:val="24"/>
          <w:u w:val="single"/>
        </w:rPr>
      </w:pPr>
      <w:r>
        <w:rPr>
          <w:rFonts w:cs="Calibri" w:ascii="Calibri-Bold" w:hAnsi="Calibri-Bold"/>
          <w:b/>
          <w:bCs/>
          <w:sz w:val="24"/>
          <w:szCs w:val="24"/>
          <w:u w:val="single"/>
        </w:rPr>
      </w:r>
    </w:p>
    <w:p>
      <w:pPr>
        <w:pStyle w:val="Normal"/>
        <w:numPr>
          <w:ilvl w:val="0"/>
          <w:numId w:val="2"/>
        </w:numPr>
        <w:jc w:val="center"/>
        <w:rPr>
          <w:rFonts w:ascii="Calibri-Bold" w:hAnsi="Calibri-Bold" w:cs="Calibri"/>
          <w:b/>
          <w:b/>
          <w:bCs/>
          <w:sz w:val="24"/>
          <w:szCs w:val="24"/>
          <w:u w:val="single"/>
        </w:rPr>
      </w:pPr>
      <w:r>
        <w:rPr>
          <w:rFonts w:cs="Calibri" w:ascii="Calibri-Bold" w:hAnsi="Calibri-Bold"/>
          <w:b/>
          <w:bCs/>
          <w:sz w:val="24"/>
          <w:szCs w:val="24"/>
          <w:u w:val="single"/>
        </w:rPr>
      </w:r>
    </w:p>
    <w:p>
      <w:pPr>
        <w:pStyle w:val="Normal"/>
        <w:numPr>
          <w:ilvl w:val="0"/>
          <w:numId w:val="2"/>
        </w:numPr>
        <w:jc w:val="center"/>
        <w:rPr/>
      </w:pPr>
      <w:bookmarkStart w:id="0" w:name="__RefHeading___Toc12481_1413620721"/>
      <w:bookmarkEnd w:id="0"/>
      <w:r>
        <w:rPr/>
        <w:t>Base giuridica delle modifiche:</w:t>
      </w:r>
    </w:p>
    <w:p>
      <w:pPr>
        <w:pStyle w:val="Normal"/>
        <w:numPr>
          <w:ilvl w:val="0"/>
          <w:numId w:val="2"/>
        </w:numPr>
        <w:jc w:val="center"/>
        <w:rPr>
          <w:rFonts w:ascii="Calibri-Bold" w:hAnsi="Calibri-Bold" w:cs="Calibri"/>
          <w:b/>
          <w:b/>
          <w:bCs/>
          <w:sz w:val="28"/>
          <w:szCs w:val="28"/>
          <w:u w:val="single"/>
          <w:shd w:fill="FFFF00" w:val="clear"/>
        </w:rPr>
      </w:pPr>
      <w:r>
        <w:rPr>
          <w:rFonts w:cs="Calibri" w:ascii="Calibri-Bold" w:hAnsi="Calibri-Bold"/>
          <w:b/>
          <w:bCs/>
          <w:sz w:val="28"/>
          <w:szCs w:val="28"/>
          <w:u w:val="single"/>
          <w:shd w:fill="FFFF00" w:val="clear"/>
        </w:rPr>
      </w:r>
    </w:p>
    <w:p>
      <w:pPr>
        <w:pStyle w:val="Normal"/>
        <w:numPr>
          <w:ilvl w:val="0"/>
          <w:numId w:val="2"/>
        </w:numPr>
        <w:jc w:val="center"/>
        <w:rPr>
          <w:shd w:fill="FFFFCC" w:val="clear"/>
        </w:rPr>
      </w:pPr>
      <w:r>
        <w:rPr>
          <w:rFonts w:cs="Calibri" w:ascii="Calibri-Bold" w:hAnsi="Calibri-Bold"/>
          <w:b/>
          <w:bCs/>
          <w:sz w:val="28"/>
          <w:szCs w:val="28"/>
          <w:u w:val="single"/>
          <w:shd w:fill="FFFFCC" w:val="clear"/>
        </w:rPr>
        <w:t>Articolo 11, lettera a), punto ii) del Regolamento (UE) n. 1305/2013</w:t>
      </w:r>
    </w:p>
    <w:p>
      <w:pPr>
        <w:pStyle w:val="Normal"/>
        <w:numPr>
          <w:ilvl w:val="0"/>
          <w:numId w:val="2"/>
        </w:numPr>
        <w:jc w:val="center"/>
        <w:rPr>
          <w:shd w:fill="FFFFCC" w:val="clear"/>
        </w:rPr>
      </w:pPr>
      <w:r>
        <w:rPr/>
      </w:r>
    </w:p>
    <w:p>
      <w:pPr>
        <w:pStyle w:val="Normal"/>
        <w:numPr>
          <w:ilvl w:val="0"/>
          <w:numId w:val="2"/>
        </w:numPr>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numPr>
          <w:ilvl w:val="0"/>
          <w:numId w:val="2"/>
        </w:numPr>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numPr>
          <w:ilvl w:val="0"/>
          <w:numId w:val="2"/>
        </w:numPr>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numPr>
          <w:ilvl w:val="0"/>
          <w:numId w:val="2"/>
        </w:numPr>
        <w:rPr>
          <w:shd w:fill="auto" w:val="clear"/>
        </w:rPr>
      </w:pPr>
      <w:r>
        <w:rPr>
          <w:b/>
          <w:sz w:val="28"/>
          <w:szCs w:val="28"/>
          <w:shd w:fill="auto" w:val="clear"/>
        </w:rPr>
        <w:t>Motivi e/o difficoltà di attuazione che giustificano la modifica</w:t>
      </w:r>
    </w:p>
    <w:p>
      <w:pPr>
        <w:pStyle w:val="Normal"/>
        <w:jc w:val="both"/>
        <w:rPr/>
      </w:pPr>
      <w:r>
        <w:rPr>
          <w:rStyle w:val="A0"/>
          <w:rFonts w:eastAsia="Calibri"/>
          <w:b w:val="false"/>
          <w:bCs w:val="false"/>
          <w:strike w:val="false"/>
          <w:dstrike w:val="false"/>
          <w:color w:val="000000"/>
          <w:kern w:val="0"/>
          <w:szCs w:val="22"/>
          <w:u w:val="none"/>
          <w:shd w:fill="auto" w:val="clear"/>
          <w:lang w:val="it-IT" w:eastAsia="en-US" w:bidi="ar-SA"/>
        </w:rPr>
        <w:t xml:space="preserve">A partire dal 2020, la crisi economica derivante inizialmente dalla pandemia da COVID-19 e successivamente aggravata dal conflitto bellico russo-ucraino tuttora in corso, ha causato un notevole aumento dei prezzi di molte materie prime, divenute difficilmente reperibili, nonché gravi ritardi nelle forniture; tale situazione ha comportato effetti di lungo periodo, che si sono abbattuti inevitabilmente sulle aziende piemontesi. Ciò ha quindi avuto ripercussioni anche sui bandi del PSR 2014-2022, portando un discreto numero di aziende ed enti pubblici a rinunciare agli investimenti e/o a chiedere proroghe per il termine dei lavori. A </w:t>
      </w:r>
      <w:r>
        <w:rPr>
          <w:rStyle w:val="A0"/>
          <w:rFonts w:eastAsia="Calibri"/>
          <w:b w:val="false"/>
          <w:bCs w:val="false"/>
          <w:strike w:val="false"/>
          <w:dstrike w:val="false"/>
          <w:color w:val="000000"/>
          <w:kern w:val="0"/>
          <w:sz w:val="22"/>
          <w:szCs w:val="22"/>
          <w:u w:val="none"/>
          <w:shd w:fill="auto" w:val="clear"/>
          <w:lang w:val="it-IT" w:eastAsia="en-US" w:bidi="ar-SA"/>
        </w:rPr>
        <w:t>tali</w:t>
      </w:r>
      <w:r>
        <w:rPr>
          <w:rStyle w:val="A0"/>
          <w:rFonts w:eastAsia="Calibri"/>
          <w:b w:val="false"/>
          <w:bCs w:val="false"/>
          <w:strike w:val="false"/>
          <w:dstrike w:val="false"/>
          <w:color w:val="000000"/>
          <w:kern w:val="0"/>
          <w:szCs w:val="22"/>
          <w:u w:val="none"/>
          <w:shd w:fill="auto" w:val="clear"/>
          <w:lang w:val="it-IT" w:eastAsia="en-US" w:bidi="ar-SA"/>
        </w:rPr>
        <w:t xml:space="preserve"> rinunce si sommano le economie che maturano in fase di saldo e che sono fisiologiche alla fine di un ciclo di programmazione.</w:t>
      </w:r>
    </w:p>
    <w:p>
      <w:pPr>
        <w:pStyle w:val="Normal"/>
        <w:jc w:val="both"/>
        <w:rPr/>
      </w:pPr>
      <w:r>
        <w:rPr>
          <w:rStyle w:val="A0"/>
          <w:rFonts w:eastAsia="Calibri"/>
          <w:b w:val="false"/>
          <w:bCs w:val="false"/>
          <w:strike w:val="false"/>
          <w:dstrike w:val="false"/>
          <w:color w:val="000000"/>
          <w:kern w:val="0"/>
          <w:szCs w:val="22"/>
          <w:u w:val="none"/>
          <w:shd w:fill="auto" w:val="clear"/>
          <w:lang w:val="it-IT" w:eastAsia="en-US" w:bidi="ar-SA"/>
        </w:rPr>
        <w:t xml:space="preserve">L’AdG ritiene quindi necessario, per ridurre il rischio di perdita di </w:t>
      </w:r>
      <w:r>
        <w:rPr>
          <w:rStyle w:val="A0"/>
          <w:rFonts w:eastAsia="Calibri"/>
          <w:b w:val="false"/>
          <w:bCs w:val="false"/>
          <w:strike w:val="false"/>
          <w:dstrike w:val="false"/>
          <w:color w:val="000000"/>
          <w:kern w:val="0"/>
          <w:sz w:val="22"/>
          <w:szCs w:val="22"/>
          <w:u w:val="none"/>
          <w:shd w:fill="auto" w:val="clear"/>
          <w:lang w:val="it-IT" w:eastAsia="en-US" w:bidi="ar-SA"/>
        </w:rPr>
        <w:t>fondi</w:t>
      </w:r>
      <w:r>
        <w:rPr>
          <w:rStyle w:val="A0"/>
          <w:rFonts w:eastAsia="Calibri"/>
          <w:b w:val="false"/>
          <w:bCs w:val="false"/>
          <w:strike w:val="false"/>
          <w:dstrike w:val="false"/>
          <w:color w:val="000000"/>
          <w:kern w:val="0"/>
          <w:szCs w:val="22"/>
          <w:u w:val="none"/>
          <w:shd w:fill="auto" w:val="clear"/>
          <w:lang w:val="it-IT" w:eastAsia="en-US" w:bidi="ar-SA"/>
        </w:rPr>
        <w:t xml:space="preserve"> in chiusura di PSR al 31.12.2025, operare una riprogrammazione finanziaria che prevede anche di utilizzare la flessibilità concessa dal Reg. (UE) n. 1305/2013, art. 59, in materia di tassi di cofinanziamento. Pertanto, i</w:t>
      </w:r>
      <w:r>
        <w:rPr>
          <w:rStyle w:val="A0"/>
          <w:rFonts w:eastAsia="Calibri"/>
          <w:b w:val="false"/>
          <w:bCs w:val="false"/>
          <w:i w:val="false"/>
          <w:iCs w:val="false"/>
          <w:caps w:val="false"/>
          <w:smallCaps w:val="false"/>
          <w:strike w:val="false"/>
          <w:dstrike w:val="false"/>
          <w:outline w:val="false"/>
          <w:vanish w:val="false"/>
          <w:color w:val="000000"/>
          <w:spacing w:val="0"/>
          <w:w w:val="100"/>
          <w:kern w:val="0"/>
          <w:position w:val="0"/>
          <w:sz w:val="22"/>
          <w:sz w:val="22"/>
          <w:szCs w:val="22"/>
          <w:u w:val="none"/>
          <w:shd w:fill="auto" w:val="clear"/>
          <w:vertAlign w:val="baseline"/>
          <w:lang w:val="it-IT" w:eastAsia="en-US" w:bidi="ar-SA"/>
        </w:rPr>
        <w:t>n applicazione della Legge di bilancio statale 2025 (l. n. 207/2024) - che consente alle AdG regionali, previa modifica dei Programmi, di ridurre le percentuali di partecipazione regionale e statale, innalzando contestualmente la quota FEASR - la Regione Piemonte ha avviato un percorso di recepimento normativo di tale legge nazionale, nelle more della trasmissione ufficiale ed approvazione delle presenti modifiche al PSR. Al fine di consentire l’applicazione dei nuovi tassi FEASR a partire dal secondo trimestre 2025 (Reg. UE n. 908/2014, art. 23, par. 1), massimizzando così  gli effetti sull’accelerazione della spesa comunitaria, le modifiche dovrebbero essere approvate dalla Commissione entro il 31 marzo 2025.</w:t>
      </w:r>
    </w:p>
    <w:p>
      <w:pPr>
        <w:pStyle w:val="Normal"/>
        <w:jc w:val="both"/>
        <w:rPr/>
      </w:pPr>
      <w:r>
        <w:rPr>
          <w:rStyle w:val="A0"/>
          <w:rFonts w:eastAsia="Calibri"/>
          <w:b w:val="false"/>
          <w:bCs w:val="false"/>
          <w:strike w:val="false"/>
          <w:dstrike w:val="false"/>
          <w:color w:val="000000"/>
          <w:kern w:val="0"/>
          <w:szCs w:val="22"/>
          <w:u w:val="none"/>
          <w:shd w:fill="auto" w:val="clear"/>
          <w:lang w:val="it-IT" w:eastAsia="en-US" w:bidi="ar-SA"/>
        </w:rPr>
        <w:t xml:space="preserve">All’interno della presente proposta, alla variazione dei tassi FEASR si aggiungono alcuni spostamenti di dotazione finanziaria tra misure, nonché uno switch tra fondi cofinanziati e top up aggiuntivi, limitatamente allo stretto necessario per concorrere in maniera tempestiva ad accelerare la spesa e per minimizzare </w:t>
      </w:r>
      <w:r>
        <w:rPr>
          <w:rStyle w:val="A0"/>
          <w:rFonts w:eastAsia="Calibri"/>
          <w:b w:val="false"/>
          <w:bCs w:val="false"/>
          <w:strike w:val="false"/>
          <w:dstrike w:val="false"/>
          <w:color w:val="000000"/>
          <w:kern w:val="0"/>
          <w:sz w:val="22"/>
          <w:szCs w:val="22"/>
          <w:u w:val="none"/>
          <w:shd w:fill="auto" w:val="clear"/>
          <w:lang w:val="it-IT" w:eastAsia="en-US" w:bidi="ar-SA"/>
        </w:rPr>
        <w:t>l’impatto</w:t>
      </w:r>
      <w:r>
        <w:rPr>
          <w:rStyle w:val="A0"/>
          <w:rFonts w:eastAsia="Calibri"/>
          <w:b w:val="false"/>
          <w:bCs w:val="false"/>
          <w:strike w:val="false"/>
          <w:dstrike w:val="false"/>
          <w:color w:val="000000"/>
          <w:kern w:val="0"/>
          <w:szCs w:val="22"/>
          <w:u w:val="none"/>
          <w:shd w:fill="auto" w:val="clear"/>
          <w:lang w:val="it-IT" w:eastAsia="en-US" w:bidi="ar-SA"/>
        </w:rPr>
        <w:t xml:space="preserve"> tecnico sui sistemi informativi gestionali e di monitoraggio.</w:t>
      </w:r>
    </w:p>
    <w:p>
      <w:pPr>
        <w:pStyle w:val="Normal"/>
        <w:numPr>
          <w:ilvl w:val="0"/>
          <w:numId w:val="2"/>
        </w:numPr>
        <w:jc w:val="both"/>
        <w:rPr/>
      </w:pPr>
      <w:r>
        <w:rPr>
          <w:rStyle w:val="A0"/>
          <w:rFonts w:eastAsia="Calibri"/>
          <w:b w:val="false"/>
          <w:bCs w:val="false"/>
          <w:strike w:val="false"/>
          <w:dstrike w:val="false"/>
          <w:color w:val="000000"/>
          <w:kern w:val="0"/>
          <w:szCs w:val="22"/>
          <w:u w:val="none"/>
          <w:shd w:fill="auto" w:val="clear"/>
          <w:lang w:val="it-IT" w:eastAsia="en-US" w:bidi="ar-SA"/>
        </w:rPr>
        <w:t>Lo scopo complessivo delle modifiche è quindi utilizzare prioritariamente e nel miglior modo possibile i fondi FEASR, spostando le risorse residue su un’unica misura strategica, aperta a dicembre 2024, in grado di spendere fondi entro la scadenza della programmazione, evitandone così il disimpegno, senza ridurre l’ambizione finanziaria e ambientale del Programma, né inficiarne gli obiettivi.</w:t>
      </w:r>
    </w:p>
    <w:p>
      <w:pPr>
        <w:pStyle w:val="Normal"/>
        <w:jc w:val="both"/>
        <w:rPr>
          <w:rFonts w:ascii="Calibri" w:hAnsi="Calibri"/>
          <w:shd w:fill="auto" w:val="clear"/>
        </w:rPr>
      </w:pPr>
      <w:r>
        <w:rPr>
          <w:shd w:fill="auto" w:val="clear"/>
        </w:rPr>
      </w:r>
    </w:p>
    <w:p>
      <w:pPr>
        <w:pStyle w:val="Normal"/>
        <w:numPr>
          <w:ilvl w:val="0"/>
          <w:numId w:val="2"/>
        </w:numPr>
        <w:jc w:val="both"/>
        <w:rPr>
          <w:shd w:fill="auto" w:val="clear"/>
        </w:rPr>
      </w:pPr>
      <w:r>
        <w:rPr>
          <w:b/>
          <w:bCs/>
          <w:shd w:fill="auto" w:val="clear"/>
        </w:rPr>
        <w:t>Questo avviene attraverso tre step consequenziali all’interno della presente modifica:</w:t>
      </w:r>
    </w:p>
    <w:p>
      <w:pPr>
        <w:pStyle w:val="Normal"/>
        <w:numPr>
          <w:ilvl w:val="0"/>
          <w:numId w:val="2"/>
        </w:numPr>
        <w:jc w:val="both"/>
        <w:rPr>
          <w:shd w:fill="auto" w:val="clear"/>
        </w:rPr>
      </w:pPr>
      <w:r>
        <w:rPr>
          <w:b/>
          <w:bCs/>
          <w:shd w:fill="auto" w:val="clear"/>
        </w:rPr>
        <w:t>1) Integrazione fondi dell’Operazione 6.1.1</w:t>
      </w:r>
    </w:p>
    <w:p>
      <w:pPr>
        <w:pStyle w:val="Normal"/>
        <w:numPr>
          <w:ilvl w:val="0"/>
          <w:numId w:val="2"/>
        </w:numPr>
        <w:jc w:val="both"/>
        <w:rPr>
          <w:shd w:fill="auto" w:val="clear"/>
        </w:rPr>
      </w:pPr>
      <w:r>
        <w:rPr>
          <w:b/>
          <w:bCs/>
          <w:shd w:fill="auto" w:val="clear"/>
        </w:rPr>
        <w:t>2) Modifica dei tassi di cofinanziamento FEASR</w:t>
      </w:r>
    </w:p>
    <w:p>
      <w:pPr>
        <w:pStyle w:val="Normal"/>
        <w:numPr>
          <w:ilvl w:val="0"/>
          <w:numId w:val="2"/>
        </w:numPr>
        <w:spacing w:before="120" w:after="0"/>
        <w:jc w:val="both"/>
        <w:rPr>
          <w:shd w:fill="auto" w:val="clear"/>
        </w:rPr>
      </w:pPr>
      <w:r>
        <w:rPr>
          <w:b/>
          <w:bCs/>
          <w:shd w:fill="auto" w:val="clear"/>
        </w:rPr>
        <w:t>3) Switch fondi (cofinanziato - top up) tra l’Operazione 6.1.1 e le Misu</w:t>
      </w:r>
      <w:r>
        <w:rPr>
          <w:b/>
          <w:bCs/>
          <w:color w:val="000000"/>
          <w:shd w:fill="auto" w:val="clear"/>
        </w:rPr>
        <w:t>re 10 e 13</w:t>
      </w:r>
    </w:p>
    <w:p>
      <w:pPr>
        <w:pStyle w:val="Normal"/>
        <w:numPr>
          <w:ilvl w:val="0"/>
          <w:numId w:val="2"/>
        </w:numPr>
        <w:jc w:val="both"/>
        <w:rPr>
          <w:color w:val="auto"/>
        </w:rPr>
      </w:pPr>
      <w:r>
        <w:rPr>
          <w:color w:val="auto"/>
        </w:rPr>
      </w:r>
    </w:p>
    <w:p>
      <w:pPr>
        <w:pStyle w:val="Normal"/>
        <w:rPr>
          <w:u w:val="single"/>
        </w:rPr>
      </w:pPr>
      <w:r>
        <w:rPr>
          <w:u w:val="single"/>
        </w:rPr>
      </w:r>
    </w:p>
    <w:p>
      <w:pPr>
        <w:pStyle w:val="Normal"/>
        <w:rPr>
          <w:b/>
          <w:b/>
          <w:bCs/>
          <w:u w:val="single"/>
        </w:rPr>
      </w:pPr>
      <w:r>
        <w:rPr>
          <w:b/>
          <w:bCs/>
          <w:u w:val="single"/>
        </w:rPr>
        <w:t>Di seguito si riporta il dettaglio di ciascuno step.</w:t>
      </w:r>
    </w:p>
    <w:p>
      <w:pPr>
        <w:pStyle w:val="Normal"/>
        <w:rPr>
          <w:b/>
          <w:b/>
          <w:bCs/>
          <w:u w:val="single"/>
        </w:rPr>
      </w:pPr>
      <w:r>
        <w:rPr>
          <w:b/>
          <w:bCs/>
          <w:u w:val="single"/>
        </w:rPr>
      </w:r>
    </w:p>
    <w:p>
      <w:pPr>
        <w:pStyle w:val="Normal"/>
        <w:rPr>
          <w:u w:val="single"/>
        </w:rPr>
      </w:pPr>
      <w:r>
        <w:rPr>
          <w:u w:val="single"/>
        </w:rPr>
      </w:r>
    </w:p>
    <w:p>
      <w:pPr>
        <w:pStyle w:val="Normal"/>
        <w:rPr>
          <w:u w:val="single"/>
        </w:rPr>
      </w:pPr>
      <w:r>
        <w:rPr>
          <w:u w:val="single"/>
        </w:rPr>
      </w:r>
    </w:p>
    <w:p>
      <w:pPr>
        <w:pStyle w:val="Normal"/>
        <w:rPr>
          <w:u w:val="single"/>
        </w:rPr>
      </w:pPr>
      <w:r>
        <w:rPr>
          <w:u w:val="single"/>
        </w:rPr>
      </w:r>
    </w:p>
    <w:p>
      <w:pPr>
        <w:pStyle w:val="Normal"/>
        <w:rPr>
          <w:color w:val="000000"/>
          <w:u w:val="single"/>
        </w:rPr>
      </w:pPr>
      <w:r>
        <w:rPr>
          <w:color w:val="000000"/>
          <w:u w:val="single"/>
        </w:rPr>
      </w:r>
    </w:p>
    <w:p>
      <w:pPr>
        <w:pStyle w:val="Normal"/>
        <w:jc w:val="both"/>
        <w:rPr>
          <w:color w:val="000000"/>
        </w:rPr>
      </w:pPr>
      <w:r>
        <w:rPr>
          <w:rFonts w:eastAsia="Calibri" w:cs="Tahoma"/>
          <w:b/>
          <w:bCs/>
          <w:color w:val="000000"/>
          <w:kern w:val="0"/>
          <w:sz w:val="22"/>
          <w:szCs w:val="22"/>
          <w:shd w:fill="auto" w:val="clear"/>
          <w:lang w:val="it-IT" w:eastAsia="en-US" w:bidi="ar-SA"/>
        </w:rPr>
        <w:t>1) Integrazione fondi dell’Operazione 6.1.1 (insediamento giovani)</w:t>
      </w:r>
    </w:p>
    <w:p>
      <w:pPr>
        <w:pStyle w:val="Normal"/>
        <w:numPr>
          <w:ilvl w:val="0"/>
          <w:numId w:val="2"/>
        </w:numPr>
        <w:jc w:val="both"/>
        <w:rPr>
          <w:color w:val="000000"/>
        </w:rPr>
      </w:pPr>
      <w:r>
        <w:rPr>
          <w:b w:val="false"/>
          <w:bCs w:val="false"/>
          <w:color w:val="000000"/>
        </w:rPr>
        <w:t xml:space="preserve">Con questa </w:t>
      </w:r>
      <w:r>
        <w:rPr>
          <w:rFonts w:eastAsia="Calibri" w:cs="Tahoma"/>
          <w:b w:val="false"/>
          <w:bCs w:val="false"/>
          <w:color w:val="000000"/>
          <w:kern w:val="0"/>
          <w:sz w:val="22"/>
          <w:szCs w:val="22"/>
          <w:lang w:val="it-IT" w:eastAsia="en-US" w:bidi="ar-SA"/>
        </w:rPr>
        <w:t>modifica</w:t>
      </w:r>
      <w:r>
        <w:rPr>
          <w:b w:val="false"/>
          <w:bCs w:val="false"/>
          <w:color w:val="000000"/>
        </w:rPr>
        <w:t xml:space="preserve"> si intende convogliare tutti i fondi cofinanziati derivanti da economie maturate nell’ambito delle diverse misure che si stanno chiudendo, sull’ultimo bando dell’Operazione 6.1.1 (insediamento giovani) aperto a dicembre 2024 ed in chiusura a fine gennaio</w:t>
      </w:r>
      <w:r>
        <w:rPr>
          <w:b w:val="false"/>
          <w:bCs w:val="false"/>
          <w:color w:val="000000"/>
          <w:shd w:fill="auto" w:val="clear"/>
        </w:rPr>
        <w:t>.</w:t>
      </w:r>
    </w:p>
    <w:p>
      <w:pPr>
        <w:pStyle w:val="Normal"/>
        <w:numPr>
          <w:ilvl w:val="0"/>
          <w:numId w:val="2"/>
        </w:numPr>
        <w:jc w:val="both"/>
        <w:rPr>
          <w:color w:val="000000"/>
        </w:rPr>
      </w:pPr>
      <w:r>
        <w:rPr>
          <w:rFonts w:eastAsia="Arial" w:cs="DejaVu Sans" w:cstheme="minorBidi" w:eastAsiaTheme="minorHAnsi"/>
          <w:b w:val="false"/>
          <w:bCs w:val="false"/>
          <w:color w:val="000000"/>
          <w:shd w:fill="auto" w:val="clear"/>
        </w:rPr>
        <w:t>Regione Piemonte ritiene che  il ricambio generazionale in agricoltura continui ad essere una delle  misure prioritarie nella propria programmazione dello sviluppo rurale, in quanto favorisce l’ingresso di nuove generazioni nel settore, perseguendo al contempo l’obiettivo di crescita del settore primario, con l’aumento del numero di aziende agricole moderne, sostenibili e competitive.</w:t>
      </w:r>
    </w:p>
    <w:p>
      <w:pPr>
        <w:pStyle w:val="Normal"/>
        <w:numPr>
          <w:ilvl w:val="0"/>
          <w:numId w:val="2"/>
        </w:numPr>
        <w:jc w:val="both"/>
        <w:rPr>
          <w:rFonts w:cstheme="minorBidi" w:eastAsiaTheme="minorHAnsi"/>
          <w:shd w:fill="auto" w:val="clear"/>
        </w:rPr>
      </w:pPr>
      <w:r>
        <w:rPr>
          <w:rFonts w:eastAsia="Arial" w:cs="DejaVu Sans" w:cstheme="minorBidi" w:eastAsiaTheme="minorHAnsi"/>
          <w:b w:val="false"/>
          <w:bCs w:val="false"/>
          <w:color w:val="000000"/>
          <w:shd w:fill="auto" w:val="clear"/>
        </w:rPr>
        <w:t xml:space="preserve">Ne consegue l’importanza di fornire un’adeguata dotazione finanziaria al bando attualmente  aperto, al fine di favorire l’insediamento in agricoltura dei giovani che presenteranno domanda di sostegno. </w:t>
      </w:r>
    </w:p>
    <w:p>
      <w:pPr>
        <w:pStyle w:val="Normal"/>
        <w:numPr>
          <w:ilvl w:val="0"/>
          <w:numId w:val="2"/>
        </w:numPr>
        <w:jc w:val="both"/>
        <w:rPr>
          <w:rFonts w:cstheme="minorBidi" w:eastAsiaTheme="minorHAnsi"/>
          <w:shd w:fill="auto" w:val="clear"/>
        </w:rPr>
      </w:pPr>
      <w:r>
        <w:rPr>
          <w:rFonts w:eastAsia="Arial" w:cs="DejaVu Sans" w:cstheme="minorBidi" w:eastAsiaTheme="minorHAnsi"/>
          <w:b w:val="false"/>
          <w:bCs w:val="false"/>
          <w:color w:val="000000"/>
          <w:shd w:fill="auto" w:val="clear"/>
        </w:rPr>
        <w:t>Si propone pertanto di destinare all’Operazione 6.1.1 un importo pari a circa 10,</w:t>
      </w:r>
      <w:r>
        <w:rPr>
          <w:rFonts w:eastAsia="Arial" w:cs="DejaVu Sans" w:cstheme="minorBidi" w:eastAsiaTheme="minorHAnsi"/>
          <w:b w:val="false"/>
          <w:bCs w:val="false"/>
          <w:color w:val="000000"/>
          <w:shd w:fill="auto" w:val="clear"/>
        </w:rPr>
        <w:t>46</w:t>
      </w:r>
      <w:r>
        <w:rPr>
          <w:rFonts w:eastAsia="Arial" w:cs="DejaVu Sans" w:cstheme="minorBidi" w:eastAsiaTheme="minorHAnsi"/>
          <w:b w:val="false"/>
          <w:bCs w:val="false"/>
          <w:color w:val="000000"/>
          <w:shd w:fill="auto" w:val="clear"/>
        </w:rPr>
        <w:t xml:space="preserve"> M€ derivanti da economie maturate su altre operazioni, come risultante dalla sottostante tabella.</w:t>
      </w:r>
    </w:p>
    <w:p>
      <w:pPr>
        <w:pStyle w:val="Normal"/>
        <w:jc w:val="both"/>
        <w:rPr>
          <w:rFonts w:ascii="Calibri" w:hAnsi="Calibri"/>
          <w:color w:val="000000"/>
        </w:rPr>
      </w:pPr>
      <w:r>
        <w:rPr>
          <w:color w:val="000000"/>
        </w:rPr>
        <w:drawing>
          <wp:anchor behindDoc="0" distT="0" distB="0" distL="0" distR="0" simplePos="0" locked="0" layoutInCell="0" allowOverlap="1" relativeHeight="5">
            <wp:simplePos x="0" y="0"/>
            <wp:positionH relativeFrom="column">
              <wp:posOffset>0</wp:posOffset>
            </wp:positionH>
            <wp:positionV relativeFrom="paragraph">
              <wp:posOffset>240665</wp:posOffset>
            </wp:positionV>
            <wp:extent cx="6120130" cy="4926965"/>
            <wp:effectExtent l="0" t="0" r="0" b="0"/>
            <wp:wrapSquare wrapText="largest"/>
            <wp:docPr id="13" name="Immagin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5" descr=""/>
                    <pic:cNvPicPr>
                      <a:picLocks noChangeAspect="1" noChangeArrowheads="1"/>
                    </pic:cNvPicPr>
                  </pic:nvPicPr>
                  <pic:blipFill>
                    <a:blip r:embed="rId6"/>
                    <a:stretch>
                      <a:fillRect/>
                    </a:stretch>
                  </pic:blipFill>
                  <pic:spPr bwMode="auto">
                    <a:xfrm>
                      <a:off x="0" y="0"/>
                      <a:ext cx="6120130" cy="4926965"/>
                    </a:xfrm>
                    <a:prstGeom prst="rect">
                      <a:avLst/>
                    </a:prstGeom>
                  </pic:spPr>
                </pic:pic>
              </a:graphicData>
            </a:graphic>
          </wp:anchor>
        </w:drawing>
      </w:r>
    </w:p>
    <w:p>
      <w:pPr>
        <w:pStyle w:val="Normal"/>
        <w:jc w:val="both"/>
        <w:rPr>
          <w:rFonts w:ascii="Calibri" w:hAnsi="Calibri"/>
          <w:color w:val="000000"/>
        </w:rPr>
      </w:pPr>
      <w:r>
        <w:rPr>
          <w:color w:val="000000"/>
        </w:rPr>
      </w:r>
    </w:p>
    <w:p>
      <w:pPr>
        <w:pStyle w:val="Normal"/>
        <w:rPr>
          <w:color w:val="000000"/>
        </w:rPr>
      </w:pPr>
      <w:r>
        <w:rPr>
          <w:rFonts w:eastAsia="Calibri" w:cs="Tahoma"/>
          <w:color w:val="000000"/>
          <w:kern w:val="0"/>
          <w:sz w:val="22"/>
          <w:szCs w:val="22"/>
          <w:u w:val="single"/>
          <w:shd w:fill="auto" w:val="clear"/>
          <w:lang w:val="it-IT" w:eastAsia="en-US" w:bidi="ar-SA"/>
        </w:rPr>
        <w:t>Di seguito si riporta una giustificazione di maggior dettaglio per le operazioni interessate.</w:t>
      </w:r>
    </w:p>
    <w:p>
      <w:pPr>
        <w:pStyle w:val="Normal"/>
        <w:jc w:val="both"/>
        <w:rPr>
          <w:color w:val="000000"/>
        </w:rPr>
      </w:pPr>
      <w:r>
        <w:rPr/>
      </w:r>
    </w:p>
    <w:p>
      <w:pPr>
        <w:pStyle w:val="Normal"/>
        <w:jc w:val="both"/>
        <w:rPr>
          <w:color w:val="000000"/>
        </w:rPr>
      </w:pPr>
      <w:r>
        <w:rPr>
          <w:b/>
          <w:bCs/>
          <w:i/>
          <w:iCs/>
          <w:color w:val="000000"/>
        </w:rPr>
        <w:t xml:space="preserve">Op. 1.1.1 - Formazione professionale in campo agricolo: </w:t>
      </w:r>
      <w:r>
        <w:rPr>
          <w:color w:val="000000"/>
        </w:rPr>
        <w:t>l’Operazione 1.1.1 ha terminato i pagamenti. I limitati fondi residui, pari a circa</w:t>
      </w:r>
      <w:r>
        <w:rPr>
          <w:rFonts w:eastAsia="Arial" w:cs="DejaVu Sans" w:cstheme="minorBidi" w:eastAsiaTheme="minorHAnsi"/>
          <w:color w:val="000000"/>
          <w:shd w:fill="auto" w:val="clear"/>
        </w:rPr>
        <w:t xml:space="preserve"> € 44.000</w:t>
      </w:r>
      <w:r>
        <w:rPr>
          <w:color w:val="000000"/>
          <w:shd w:fill="auto" w:val="clear"/>
        </w:rPr>
        <w:t>, deriva</w:t>
      </w:r>
      <w:r>
        <w:rPr>
          <w:color w:val="000000"/>
        </w:rPr>
        <w:t>no da economie maturate in fase di saldo.</w:t>
      </w:r>
    </w:p>
    <w:p>
      <w:pPr>
        <w:pStyle w:val="Normal"/>
        <w:jc w:val="both"/>
        <w:rPr>
          <w:color w:val="000000"/>
        </w:rPr>
      </w:pPr>
      <w:r>
        <w:rPr>
          <w:b/>
          <w:bCs/>
          <w:i/>
          <w:iCs/>
          <w:color w:val="000000"/>
        </w:rPr>
        <w:t>Op. 1.2.1 - Attività dimostrative e di informazione in campo agricolo e forestale</w:t>
      </w:r>
      <w:r>
        <w:rPr>
          <w:color w:val="000000"/>
        </w:rPr>
        <w:t xml:space="preserve">: i bandi di 1.2.1 sono tutti chiusi e le attività si stanno concludendo nei tempi previsti. Pertanto le economie maturate fino ad oggi, pari a circa </w:t>
      </w:r>
      <w:r>
        <w:rPr>
          <w:rFonts w:eastAsia="Arial" w:cs="DejaVu Sans" w:cstheme="minorBidi" w:eastAsiaTheme="minorHAnsi"/>
          <w:color w:val="000000"/>
          <w:shd w:fill="auto" w:val="clear"/>
        </w:rPr>
        <w:t>2,</w:t>
      </w:r>
      <w:r>
        <w:rPr>
          <w:rFonts w:eastAsia="Arial" w:cs="DejaVu Sans" w:cstheme="minorBidi" w:eastAsiaTheme="minorHAnsi"/>
          <w:color w:val="000000"/>
          <w:shd w:fill="auto" w:val="clear"/>
        </w:rPr>
        <w:t>7 M</w:t>
      </w:r>
      <w:r>
        <w:rPr>
          <w:rFonts w:eastAsia="Arial" w:cs="DejaVu Sans"/>
          <w:color w:val="000000"/>
          <w:shd w:fill="auto" w:val="clear"/>
        </w:rPr>
        <w:t>€, d</w:t>
      </w:r>
      <w:r>
        <w:rPr>
          <w:rFonts w:eastAsia="Arial" w:cs="DejaVu Sans" w:cstheme="minorBidi" w:eastAsiaTheme="minorHAnsi"/>
          <w:color w:val="000000"/>
          <w:shd w:fill="auto" w:val="clear"/>
        </w:rPr>
        <w:t>erivano da alcune revoche e</w:t>
      </w:r>
      <w:r>
        <w:rPr>
          <w:color w:val="000000"/>
          <w:shd w:fill="auto" w:val="clear"/>
        </w:rPr>
        <w:t xml:space="preserve"> possono ess</w:t>
      </w:r>
      <w:r>
        <w:rPr>
          <w:color w:val="000000"/>
        </w:rPr>
        <w:t>ere liberate.</w:t>
      </w:r>
    </w:p>
    <w:p>
      <w:pPr>
        <w:pStyle w:val="Normal"/>
        <w:jc w:val="both"/>
        <w:rPr>
          <w:color w:val="000000"/>
        </w:rPr>
      </w:pPr>
      <w:r>
        <w:rPr>
          <w:b/>
          <w:bCs/>
          <w:i/>
          <w:iCs/>
          <w:color w:val="000000"/>
        </w:rPr>
        <w:t xml:space="preserve">Op. 4.1.1 - Miglioramento del rendimento globale e della sostenibilità delle aziende agricole: </w:t>
      </w:r>
      <w:r>
        <w:rPr>
          <w:b w:val="false"/>
          <w:bCs w:val="false"/>
          <w:i w:val="false"/>
          <w:iCs w:val="false"/>
          <w:color w:val="000000"/>
        </w:rPr>
        <w:t>l’</w:t>
      </w:r>
      <w:r>
        <w:rPr>
          <w:color w:val="000000"/>
        </w:rPr>
        <w:t>Operazione 4.1.1 ha aperto 5 bandi nel corso della programmazione 14-22, di cui l’ultimo è stato emanato nel 2021. I bandi precedenti hanno</w:t>
      </w:r>
      <w:r>
        <w:rPr>
          <w:color w:val="000000"/>
          <w:shd w:fill="auto" w:val="clear"/>
        </w:rPr>
        <w:t xml:space="preserve"> maturato economie derivanti da rinunce, revoche, recuperi e minori importi a saldo per un importo pari a </w:t>
      </w:r>
      <w:r>
        <w:rPr>
          <w:rFonts w:eastAsia="Calibri"/>
          <w:color w:val="000000"/>
          <w:shd w:fill="auto" w:val="clear"/>
        </w:rPr>
        <w:t>2</w:t>
      </w:r>
      <w:r>
        <w:rPr>
          <w:color w:val="000000"/>
          <w:shd w:fill="auto" w:val="clear"/>
        </w:rPr>
        <w:t xml:space="preserve"> M€ di fondi </w:t>
      </w:r>
      <w:r>
        <w:rPr>
          <w:color w:val="000000"/>
          <w:shd w:fill="auto" w:val="clear"/>
        </w:rPr>
        <w:t>cofinanziati ordinari.</w:t>
      </w:r>
    </w:p>
    <w:p>
      <w:pPr>
        <w:pStyle w:val="Normal"/>
        <w:jc w:val="both"/>
        <w:rPr>
          <w:color w:val="000000"/>
        </w:rPr>
      </w:pPr>
      <w:r>
        <w:rPr>
          <w:b/>
          <w:bCs/>
          <w:i/>
          <w:iCs/>
          <w:color w:val="000000"/>
          <w:shd w:fill="auto" w:val="clear"/>
        </w:rPr>
        <w:t>Op. 4.1.2 - Miglioramento del rendimen</w:t>
      </w:r>
      <w:r>
        <w:rPr>
          <w:b/>
          <w:bCs/>
          <w:i/>
          <w:iCs/>
          <w:color w:val="000000"/>
        </w:rPr>
        <w:t xml:space="preserve">to globale e della sostenibilità delle aziende agricole dei giovani agricoltori:  </w:t>
      </w:r>
      <w:r>
        <w:rPr>
          <w:color w:val="000000"/>
        </w:rPr>
        <w:t>l’Operazione ha visto l’apertura di 4 bandi nell’intera programmazione 14-22; i primi 3 bandi   hann</w:t>
      </w:r>
      <w:r>
        <w:rPr>
          <w:color w:val="000000"/>
          <w:shd w:fill="auto" w:val="clear"/>
        </w:rPr>
        <w:t xml:space="preserve">o generato economie che non possono essere più utilizzate e pertanto si propone di stornare </w:t>
      </w:r>
      <w:r>
        <w:rPr>
          <w:color w:val="000000"/>
          <w:shd w:fill="auto" w:val="clear"/>
        </w:rPr>
        <w:t>€ 600.000</w:t>
      </w:r>
      <w:r>
        <w:rPr>
          <w:color w:val="000000"/>
          <w:shd w:fill="auto" w:val="clear"/>
        </w:rPr>
        <w:t xml:space="preserve"> di fondi cofinanziati. Il bando 2023 invece vede coperti i propri fabbisogni con i fondi EURI, sui quali non si prevedono modifiche.</w:t>
      </w:r>
    </w:p>
    <w:p>
      <w:pPr>
        <w:pStyle w:val="Normal"/>
        <w:jc w:val="both"/>
        <w:rPr>
          <w:color w:val="000000"/>
        </w:rPr>
      </w:pPr>
      <w:r>
        <w:rPr>
          <w:b/>
          <w:bCs/>
          <w:i/>
          <w:iCs/>
          <w:color w:val="000000"/>
          <w:shd w:fill="auto" w:val="clear"/>
        </w:rPr>
        <w:t xml:space="preserve">Op. 5.1.2 </w:t>
      </w:r>
      <w:r>
        <w:rPr>
          <w:b/>
          <w:bCs/>
          <w:i/>
          <w:iCs/>
          <w:color w:val="000000"/>
        </w:rPr>
        <w:t xml:space="preserve">- Prevenzione dei danni da calamità naturali di tipo abiotico: </w:t>
      </w:r>
      <w:r>
        <w:rPr>
          <w:b w:val="false"/>
          <w:bCs w:val="false"/>
          <w:i w:val="false"/>
          <w:iCs w:val="false"/>
          <w:color w:val="000000"/>
        </w:rPr>
        <w:t>l</w:t>
      </w:r>
      <w:r>
        <w:rPr>
          <w:rFonts w:eastAsia="Times New Roman" w:cs="Calibri"/>
          <w:color w:val="000000"/>
        </w:rPr>
        <w:t>’Operazione 5.1.2 nell’intera programmazione 14-22 ha aperto 6 bandi suddivisi tra le differenti azioni (“azione 1 - Impianti antigrandine” e “azione 3 - Impianti antigelo”</w:t>
      </w:r>
      <w:r>
        <w:rPr>
          <w:rFonts w:eastAsia="Times New Roman" w:cs="Calibri"/>
          <w:color w:val="000000"/>
          <w:kern w:val="2"/>
          <w:lang w:eastAsia="zh-CN"/>
        </w:rPr>
        <w:t xml:space="preserve">), maturando ulteriori economie derivanti principalmente </w:t>
      </w:r>
      <w:r>
        <w:rPr>
          <w:rFonts w:eastAsia="Times New Roman" w:cs="Calibri"/>
          <w:color w:val="000000"/>
          <w:kern w:val="2"/>
          <w:lang w:eastAsia="ko-KR"/>
        </w:rPr>
        <w:t>da rinunce, revoche, recuperi e minori im</w:t>
      </w:r>
      <w:r>
        <w:rPr>
          <w:rFonts w:eastAsia="Times New Roman" w:cs="Calibri"/>
          <w:color w:val="000000"/>
          <w:kern w:val="2"/>
          <w:shd w:fill="auto" w:val="clear"/>
          <w:lang w:eastAsia="ko-KR"/>
        </w:rPr>
        <w:t xml:space="preserve">porti a saldo, per un importo complessivo pari a </w:t>
      </w:r>
      <w:r>
        <w:rPr>
          <w:rFonts w:eastAsia="Times New Roman" w:cs="Calibri"/>
          <w:color w:val="000000"/>
          <w:kern w:val="2"/>
          <w:shd w:fill="auto" w:val="clear"/>
          <w:lang w:eastAsia="ko-KR"/>
        </w:rPr>
        <w:t>0,8 M€</w:t>
      </w:r>
      <w:r>
        <w:rPr>
          <w:rFonts w:eastAsia="Times New Roman" w:cs="Calibri"/>
          <w:color w:val="000000"/>
          <w:kern w:val="2"/>
          <w:shd w:fill="auto" w:val="clear"/>
          <w:lang w:eastAsia="ko-KR"/>
        </w:rPr>
        <w:t xml:space="preserve"> che non possono essere più utilizzati, considerato anche che nel 2023 è stato aperto un nuovo bando sull’analogo intervento (SRD06) a valere sul CSR 23-27. </w:t>
      </w:r>
    </w:p>
    <w:p>
      <w:pPr>
        <w:pStyle w:val="Normal"/>
        <w:tabs>
          <w:tab w:val="clear" w:pos="708"/>
          <w:tab w:val="left" w:pos="0" w:leader="none"/>
        </w:tabs>
        <w:jc w:val="both"/>
        <w:rPr>
          <w:color w:val="000000"/>
        </w:rPr>
      </w:pPr>
      <w:r>
        <w:rPr>
          <w:rFonts w:eastAsia="Times New Roman" w:cs="Calibri"/>
          <w:b/>
          <w:bCs/>
          <w:i/>
          <w:iCs/>
          <w:color w:val="000000"/>
          <w:kern w:val="2"/>
          <w:shd w:fill="auto" w:val="clear"/>
          <w:lang w:eastAsia="ko-KR"/>
        </w:rPr>
        <w:t>Op. 8.5.1 - Investimenti destinati ad accr</w:t>
      </w:r>
      <w:r>
        <w:rPr>
          <w:rFonts w:eastAsia="Times New Roman" w:cs="Calibri"/>
          <w:b/>
          <w:bCs/>
          <w:i/>
          <w:iCs/>
          <w:color w:val="000000"/>
          <w:kern w:val="2"/>
          <w:lang w:eastAsia="ko-KR"/>
        </w:rPr>
        <w:t>escere la resilienza e il pregio ambientale degli ecosistemi forestali – Op. 8.6.1 - Investimenti per incrementare il potenziale economico delle foreste e dei prodotti forestali</w:t>
      </w:r>
      <w:r>
        <w:rPr>
          <w:rFonts w:eastAsia="Times New Roman" w:cs="Calibri"/>
          <w:b w:val="false"/>
          <w:bCs w:val="false"/>
          <w:i w:val="false"/>
          <w:iCs w:val="false"/>
          <w:color w:val="000000"/>
          <w:kern w:val="2"/>
          <w:lang w:eastAsia="ko-KR"/>
        </w:rPr>
        <w:t xml:space="preserve">: entrambe le operazioni hanno i bandi chiusi e i beneficiari stanno trasmettendo le domande di </w:t>
      </w:r>
      <w:r>
        <w:rPr>
          <w:rFonts w:eastAsia="Times New Roman" w:cs="Calibri"/>
          <w:b w:val="false"/>
          <w:bCs w:val="false"/>
          <w:i w:val="false"/>
          <w:iCs w:val="false"/>
          <w:color w:val="000000"/>
          <w:kern w:val="2"/>
          <w:shd w:fill="auto" w:val="clear"/>
          <w:lang w:eastAsia="ko-KR"/>
        </w:rPr>
        <w:t>saldo, per c</w:t>
      </w:r>
      <w:r>
        <w:rPr>
          <w:rFonts w:eastAsia="Times New Roman" w:cs="Calibri"/>
          <w:b w:val="false"/>
          <w:bCs w:val="false"/>
          <w:i w:val="false"/>
          <w:iCs w:val="false"/>
          <w:color w:val="000000"/>
          <w:kern w:val="2"/>
          <w:shd w:fill="auto" w:val="clear"/>
          <w:lang w:eastAsia="ko-KR"/>
        </w:rPr>
        <w:t xml:space="preserve">ui le economie </w:t>
      </w:r>
      <w:r>
        <w:rPr>
          <w:rFonts w:eastAsia="Times New Roman" w:cs="Calibri"/>
          <w:b w:val="false"/>
          <w:bCs w:val="false"/>
          <w:i w:val="false"/>
          <w:iCs w:val="false"/>
          <w:color w:val="000000"/>
          <w:kern w:val="2"/>
          <w:shd w:fill="auto" w:val="clear"/>
          <w:lang w:eastAsia="ko-KR"/>
        </w:rPr>
        <w:t xml:space="preserve">maturate nel corso degli ultimi mesi, per un importo complessivo pari a </w:t>
      </w:r>
      <w:r>
        <w:rPr>
          <w:rFonts w:eastAsia="Times New Roman" w:cs="Calibri"/>
          <w:b w:val="false"/>
          <w:bCs w:val="false"/>
          <w:i w:val="false"/>
          <w:iCs w:val="false"/>
          <w:color w:val="000000"/>
          <w:kern w:val="2"/>
          <w:shd w:fill="auto" w:val="clear"/>
          <w:lang w:eastAsia="ko-KR"/>
        </w:rPr>
        <w:t>€ 2.260.000,</w:t>
      </w:r>
      <w:r>
        <w:rPr>
          <w:rFonts w:eastAsia="Times New Roman" w:cs="Calibri"/>
          <w:b w:val="false"/>
          <w:bCs w:val="false"/>
          <w:i w:val="false"/>
          <w:iCs w:val="false"/>
          <w:color w:val="000000"/>
          <w:kern w:val="2"/>
          <w:shd w:fill="auto" w:val="clear"/>
          <w:lang w:eastAsia="ko-KR"/>
        </w:rPr>
        <w:t xml:space="preserve"> pos</w:t>
      </w:r>
      <w:r>
        <w:rPr>
          <w:rFonts w:eastAsia="Times New Roman" w:cs="Calibri"/>
          <w:b w:val="false"/>
          <w:bCs w:val="false"/>
          <w:i w:val="false"/>
          <w:iCs w:val="false"/>
          <w:color w:val="000000"/>
          <w:kern w:val="2"/>
          <w:lang w:eastAsia="ko-KR"/>
        </w:rPr>
        <w:t>sono essere destinate ad altre misure.</w:t>
      </w:r>
    </w:p>
    <w:p>
      <w:pPr>
        <w:pStyle w:val="Normal"/>
        <w:tabs>
          <w:tab w:val="clear" w:pos="708"/>
          <w:tab w:val="left" w:pos="0" w:leader="none"/>
        </w:tabs>
        <w:jc w:val="both"/>
        <w:rPr>
          <w:color w:val="000000"/>
        </w:rPr>
      </w:pPr>
      <w:r>
        <w:rPr>
          <w:rFonts w:eastAsia="Times New Roman" w:cs="Calibri"/>
          <w:b/>
          <w:bCs/>
          <w:i/>
          <w:iCs/>
          <w:color w:val="000000"/>
          <w:kern w:val="2"/>
          <w:lang w:eastAsia="ko-KR"/>
        </w:rPr>
        <w:t xml:space="preserve">Op. 11.1 - Conversione agli </w:t>
      </w:r>
      <w:r>
        <w:rPr>
          <w:rFonts w:eastAsia="Times New Roman" w:cs="Calibri"/>
          <w:b/>
          <w:bCs/>
          <w:i/>
          <w:iCs/>
          <w:color w:val="000000"/>
          <w:kern w:val="2"/>
          <w:sz w:val="22"/>
          <w:szCs w:val="22"/>
          <w:lang w:val="it-IT" w:eastAsia="ko-KR" w:bidi="ar-SA"/>
        </w:rPr>
        <w:t xml:space="preserve">impegni Agricoltura biologica – Op. 11.2 - Mantenimento degli impegni Agricoltura biologica: </w:t>
      </w:r>
      <w:r>
        <w:rPr>
          <w:rFonts w:eastAsia="Times New Roman" w:cs="Calibri"/>
          <w:b w:val="false"/>
          <w:bCs w:val="false"/>
          <w:i w:val="false"/>
          <w:iCs w:val="false"/>
          <w:color w:val="000000"/>
          <w:kern w:val="2"/>
          <w:sz w:val="22"/>
          <w:szCs w:val="22"/>
          <w:shd w:fill="auto" w:val="clear"/>
          <w:lang w:val="it-IT" w:eastAsia="ko-KR" w:bidi="ar-SA"/>
        </w:rPr>
        <w:t xml:space="preserve">sulla programmazione 2014-2022, </w:t>
      </w:r>
      <w:r>
        <w:rPr>
          <w:rFonts w:eastAsia="Times New Roman" w:cs="Calibri"/>
          <w:b w:val="false"/>
          <w:bCs w:val="false"/>
          <w:i w:val="false"/>
          <w:iCs w:val="false"/>
          <w:color w:val="000000"/>
          <w:kern w:val="2"/>
          <w:sz w:val="22"/>
          <w:szCs w:val="22"/>
          <w:lang w:val="it-IT" w:eastAsia="ko-KR" w:bidi="ar-SA"/>
        </w:rPr>
        <w:t xml:space="preserve">l’Op. </w:t>
      </w:r>
      <w:r>
        <w:rPr>
          <w:rFonts w:eastAsia="Times New Roman" w:cs="Calibri"/>
          <w:b w:val="false"/>
          <w:bCs w:val="false"/>
          <w:i w:val="false"/>
          <w:iCs w:val="false"/>
          <w:color w:val="000000"/>
          <w:kern w:val="2"/>
          <w:sz w:val="22"/>
          <w:szCs w:val="22"/>
          <w:shd w:fill="auto" w:val="clear"/>
          <w:lang w:val="it-IT" w:eastAsia="ko-KR" w:bidi="ar-SA"/>
        </w:rPr>
        <w:t>11.1 vede ancora in corso i pagamenti sulla campagna 2024, mentre l’Op. 11.2 ha concluso tutte le annualità nel 2023. Il sostegno per la conversione e il mantenimento degli impegni in agricoltura biologica ha già visto l’apertura dei nuovi bandi sul CSR 23-27,  relativamente agli anni campagna 2023 e 2024 ed è in previsione l’ape</w:t>
      </w:r>
      <w:r>
        <w:rPr>
          <w:rFonts w:eastAsia="Times New Roman" w:cs="Calibri"/>
          <w:b w:val="false"/>
          <w:bCs w:val="false"/>
          <w:i w:val="false"/>
          <w:iCs w:val="false"/>
          <w:color w:val="000000"/>
          <w:kern w:val="2"/>
          <w:sz w:val="22"/>
          <w:szCs w:val="22"/>
          <w:shd w:fill="auto" w:val="clear"/>
          <w:lang w:val="it-IT" w:eastAsia="ko-KR" w:bidi="ar-SA"/>
        </w:rPr>
        <w:t>rtura anche per il 2025. Pertanto le economie della Mis. 11 maturate sul PSR 14-22, per un importo pari a M€ 1,3 possono essere liberate e spostate su altre misure.</w:t>
      </w:r>
    </w:p>
    <w:p>
      <w:pPr>
        <w:pStyle w:val="Normal"/>
        <w:tabs>
          <w:tab w:val="clear" w:pos="708"/>
          <w:tab w:val="left" w:pos="0" w:leader="none"/>
        </w:tabs>
        <w:jc w:val="both"/>
        <w:rPr>
          <w:color w:val="000000"/>
        </w:rPr>
      </w:pPr>
      <w:r>
        <w:rPr>
          <w:rFonts w:eastAsia="Times New Roman" w:cs="Calibri"/>
          <w:b/>
          <w:bCs/>
          <w:i/>
          <w:iCs/>
          <w:color w:val="000000"/>
          <w:kern w:val="2"/>
          <w:sz w:val="22"/>
          <w:szCs w:val="22"/>
          <w:shd w:fill="auto" w:val="clear"/>
          <w:lang w:val="it-IT" w:eastAsia="ko-KR" w:bidi="ar-SA"/>
        </w:rPr>
        <w:t xml:space="preserve">Trascinamenti relativi alla Misura 14 “Benessere degli animali” e alla Misura 113 “Prepensionamento”: </w:t>
      </w:r>
      <w:r>
        <w:rPr>
          <w:rFonts w:eastAsia="Times New Roman" w:cs="Calibri"/>
          <w:b w:val="false"/>
          <w:bCs w:val="false"/>
          <w:i w:val="false"/>
          <w:iCs w:val="false"/>
          <w:color w:val="000000"/>
          <w:kern w:val="2"/>
          <w:sz w:val="22"/>
          <w:szCs w:val="22"/>
          <w:shd w:fill="auto" w:val="clear"/>
          <w:lang w:val="it-IT" w:eastAsia="ko-KR" w:bidi="ar-SA"/>
        </w:rPr>
        <w:t>la Mis. 14 relativa ai trascinamenti della misura 215 “Benessere animale” del PSR 2007-2013 e i trascinamenti della Mis. 113 del PSR 2007-2013 sono conclusi, per cui i fondi residui, pari rispettivamente a circa € 212.000 per la M.14 e a circa € 166.000 per la M.113,  possono essere destinati ad altre misure.</w:t>
      </w:r>
    </w:p>
    <w:p>
      <w:pPr>
        <w:pStyle w:val="Normal"/>
        <w:jc w:val="both"/>
        <w:rPr>
          <w:color w:val="000000"/>
        </w:rPr>
      </w:pPr>
      <w:r>
        <w:rPr>
          <w:b/>
          <w:bCs/>
          <w:i/>
          <w:iCs/>
          <w:color w:val="000000"/>
        </w:rPr>
        <w:t xml:space="preserve">Misura 19 - Sviluppo locale di tipo partecipativo: </w:t>
      </w:r>
      <w:r>
        <w:rPr>
          <w:b w:val="false"/>
          <w:bCs w:val="false"/>
          <w:i w:val="false"/>
          <w:iCs w:val="false"/>
          <w:color w:val="000000"/>
        </w:rPr>
        <w:t>l</w:t>
      </w:r>
      <w:r>
        <w:rPr>
          <w:color w:val="000000"/>
          <w:shd w:fill="auto" w:val="clear"/>
        </w:rPr>
        <w:t xml:space="preserve">a sottomisura 19.2 “Attuazione delle strategie di sviluppo locale” risulta essere la linea d’intervento più importante in tutti i Programmi di Sviluppo Locale (PSL) previsti nelle 14 Strategie di Sviluppo locale selezionate in ambito Leader per il PSR 14-22 e si articola in diverse operazioni. I bandi sono tutti chiusi e nel corso degli ultimi mesi si sono registrate economie derivanti da rinunce, revoche e da minori importi accertati a saldo rispetto a quanto ammesso a finanziamento con la domanda di sostegno iniziale, che non possono essere più reimpiegati all’interno della medesima operazione. </w:t>
      </w:r>
      <w:r>
        <w:rPr>
          <w:b w:val="false"/>
          <w:bCs w:val="false"/>
          <w:color w:val="000000"/>
          <w:shd w:fill="auto" w:val="clear"/>
        </w:rPr>
        <w:t>Pertanto sulla Mis. 19 si registrano complessivamente economie per un importo pari</w:t>
      </w:r>
      <w:r>
        <w:rPr>
          <w:b w:val="false"/>
          <w:bCs w:val="false"/>
          <w:color w:val="000000"/>
          <w:shd w:fill="auto" w:val="clear"/>
        </w:rPr>
        <w:t xml:space="preserve"> a 0,38 M €, che possono essere destinate ad altre misure.</w:t>
      </w:r>
    </w:p>
    <w:p>
      <w:pPr>
        <w:pStyle w:val="Normal"/>
        <w:jc w:val="both"/>
        <w:rPr/>
      </w:pPr>
      <w:r>
        <w:rPr>
          <w:b/>
          <w:bCs/>
        </w:rPr>
        <w:t>2) Modifica dei tassi di cofinanziamento FEASR</w:t>
      </w:r>
    </w:p>
    <w:p>
      <w:pPr>
        <w:pStyle w:val="Normal"/>
        <w:numPr>
          <w:ilvl w:val="0"/>
          <w:numId w:val="2"/>
        </w:numPr>
        <w:jc w:val="both"/>
        <w:rPr>
          <w:shd w:fill="auto" w:val="clear"/>
        </w:rPr>
      </w:pPr>
      <w:r>
        <w:rPr>
          <w:b w:val="false"/>
          <w:bCs w:val="false"/>
          <w:shd w:fill="auto" w:val="clear"/>
        </w:rPr>
        <w:t xml:space="preserve">In applicazione dell’art. 59 del Reg. (UE) 1305/2013, al fine di dare priorità di spesa alla quota FEASR che deve essere </w:t>
      </w:r>
      <w:r>
        <w:rPr>
          <w:rFonts w:eastAsia="Calibri"/>
          <w:b w:val="false"/>
          <w:bCs w:val="false"/>
          <w:color w:val="000000"/>
          <w:kern w:val="0"/>
          <w:sz w:val="22"/>
          <w:szCs w:val="22"/>
          <w:shd w:fill="auto" w:val="clear"/>
          <w:lang w:val="it-IT" w:eastAsia="en-US" w:bidi="ar-SA"/>
        </w:rPr>
        <w:t>erogata</w:t>
      </w:r>
      <w:r>
        <w:rPr>
          <w:b w:val="false"/>
          <w:bCs w:val="false"/>
          <w:shd w:fill="auto" w:val="clear"/>
        </w:rPr>
        <w:t xml:space="preserve"> entro fine 2025, la Regione Piemonte intende aumentare i tassi di cofinanziamento </w:t>
      </w:r>
      <w:r>
        <w:rPr>
          <w:rFonts w:eastAsia="Calibri"/>
          <w:b w:val="false"/>
          <w:bCs w:val="false"/>
          <w:color w:val="000000"/>
          <w:kern w:val="0"/>
          <w:sz w:val="22"/>
          <w:szCs w:val="22"/>
          <w:shd w:fill="auto" w:val="clear"/>
          <w:lang w:val="it-IT" w:eastAsia="en-US" w:bidi="ar-SA"/>
        </w:rPr>
        <w:t>comunitario</w:t>
      </w:r>
      <w:r>
        <w:rPr>
          <w:b w:val="false"/>
          <w:bCs w:val="false"/>
          <w:shd w:fill="auto" w:val="clear"/>
        </w:rPr>
        <w:t>, optando per una soluzione mista:</w:t>
      </w:r>
    </w:p>
    <w:p>
      <w:pPr>
        <w:pStyle w:val="Normal"/>
        <w:numPr>
          <w:ilvl w:val="0"/>
          <w:numId w:val="3"/>
        </w:numPr>
        <w:jc w:val="both"/>
        <w:rPr>
          <w:shd w:fill="auto" w:val="clear"/>
        </w:rPr>
      </w:pPr>
      <w:r>
        <w:rPr>
          <w:b w:val="false"/>
          <w:bCs w:val="false"/>
          <w:shd w:fill="auto" w:val="clear"/>
        </w:rPr>
        <w:t xml:space="preserve">aumento del tasso FEASR base al 53% (art. 59, </w:t>
      </w:r>
      <w:r>
        <w:rPr>
          <w:rFonts w:eastAsia="Calibri"/>
          <w:b w:val="false"/>
          <w:bCs w:val="false"/>
          <w:color w:val="000000"/>
          <w:kern w:val="0"/>
          <w:sz w:val="22"/>
          <w:szCs w:val="22"/>
          <w:shd w:fill="auto" w:val="clear"/>
          <w:lang w:val="it-IT" w:eastAsia="en-US" w:bidi="ar-SA"/>
        </w:rPr>
        <w:t>comma 3, lettera d);</w:t>
      </w:r>
    </w:p>
    <w:p>
      <w:pPr>
        <w:pStyle w:val="Normal"/>
        <w:numPr>
          <w:ilvl w:val="0"/>
          <w:numId w:val="3"/>
        </w:numPr>
        <w:jc w:val="both"/>
        <w:rPr>
          <w:shd w:fill="auto" w:val="clear"/>
        </w:rPr>
      </w:pPr>
      <w:r>
        <w:rPr>
          <w:b w:val="false"/>
          <w:bCs w:val="false"/>
          <w:shd w:fill="auto" w:val="clear"/>
        </w:rPr>
        <w:t>aumento del tasso FEASR al 75% per le misure ex art. 59, comma 4, lettera a) [misure 1, 6.1, 16, 19] e lettera b) [misure ambientali</w:t>
      </w:r>
      <w:r>
        <w:rPr>
          <w:rFonts w:eastAsia="Calibri"/>
          <w:b w:val="false"/>
          <w:bCs w:val="false"/>
          <w:color w:val="000000"/>
          <w:kern w:val="0"/>
          <w:sz w:val="22"/>
          <w:szCs w:val="22"/>
          <w:shd w:fill="auto" w:val="clear"/>
          <w:lang w:val="it-IT" w:eastAsia="en-US" w:bidi="ar-SA"/>
        </w:rPr>
        <w:t>].</w:t>
      </w:r>
    </w:p>
    <w:p>
      <w:pPr>
        <w:pStyle w:val="Normal"/>
        <w:numPr>
          <w:ilvl w:val="0"/>
          <w:numId w:val="2"/>
        </w:numPr>
        <w:jc w:val="both"/>
        <w:rPr>
          <w:shd w:fill="auto" w:val="clear"/>
        </w:rPr>
      </w:pPr>
      <w:r>
        <w:rPr>
          <w:b w:val="false"/>
          <w:bCs w:val="false"/>
          <w:shd w:fill="auto" w:val="clear"/>
        </w:rPr>
        <w:t>Contestualmente, la quota regionale e nazionale “risparmiata” viene riattribuita come top-up aggiuntivi sul medesimo PSR, al fine di non ridurne l’ambizione finanziaria e ambientale, né gli obiettivi.</w:t>
      </w:r>
    </w:p>
    <w:p>
      <w:pPr>
        <w:pStyle w:val="Normal"/>
        <w:jc w:val="both"/>
        <w:rPr>
          <w:shd w:fill="auto" w:val="clear"/>
        </w:rPr>
      </w:pPr>
      <w:r>
        <w:rPr>
          <w:b w:val="false"/>
          <w:bCs w:val="false"/>
          <w:shd w:fill="auto" w:val="clear"/>
        </w:rPr>
        <w:t xml:space="preserve">Tali variazioni non modificano la dotazione complessiva del PSR, né delle singole operazioni. </w:t>
      </w:r>
    </w:p>
    <w:p>
      <w:pPr>
        <w:pStyle w:val="Normal"/>
        <w:jc w:val="both"/>
        <w:rPr>
          <w:b w:val="false"/>
          <w:b w:val="false"/>
          <w:bCs w:val="false"/>
          <w:sz w:val="4"/>
          <w:szCs w:val="4"/>
          <w:shd w:fill="auto" w:val="clear"/>
        </w:rPr>
      </w:pPr>
      <w:r>
        <w:rPr>
          <w:b w:val="false"/>
          <w:bCs w:val="false"/>
          <w:sz w:val="4"/>
          <w:szCs w:val="4"/>
          <w:shd w:fill="auto" w:val="clear"/>
        </w:rPr>
      </w:r>
    </w:p>
    <w:tbl>
      <w:tblPr>
        <w:tblW w:w="9583" w:type="dxa"/>
        <w:jc w:val="left"/>
        <w:tblInd w:w="46" w:type="dxa"/>
        <w:tblLayout w:type="fixed"/>
        <w:tblCellMar>
          <w:top w:w="0" w:type="dxa"/>
          <w:left w:w="108" w:type="dxa"/>
          <w:bottom w:w="0" w:type="dxa"/>
          <w:right w:w="108" w:type="dxa"/>
        </w:tblCellMar>
      </w:tblPr>
      <w:tblGrid>
        <w:gridCol w:w="2353"/>
        <w:gridCol w:w="2417"/>
        <w:gridCol w:w="2400"/>
        <w:gridCol w:w="2412"/>
      </w:tblGrid>
      <w:tr>
        <w:trPr/>
        <w:tc>
          <w:tcPr>
            <w:tcW w:w="2353" w:type="dxa"/>
            <w:vMerge w:val="restart"/>
            <w:tcBorders/>
            <w:shd w:fill="F2F2F2" w:val="clear"/>
          </w:tcPr>
          <w:p>
            <w:pPr>
              <w:pStyle w:val="Normal"/>
              <w:widowControl w:val="false"/>
              <w:spacing w:before="0" w:after="0"/>
              <w:jc w:val="center"/>
              <w:rPr>
                <w:rFonts w:eastAsia="Times New Roman" w:cs="Times New Roman"/>
                <w:b/>
                <w:b/>
                <w:bCs/>
                <w:kern w:val="0"/>
                <w:sz w:val="20"/>
                <w:szCs w:val="20"/>
                <w:lang w:val="it-IT" w:eastAsia="it-IT" w:bidi="ar-SA"/>
              </w:rPr>
            </w:pPr>
            <w:r>
              <w:rPr>
                <w:rFonts w:eastAsia="Times New Roman" w:cs="Times New Roman"/>
                <w:b/>
                <w:bCs/>
                <w:kern w:val="0"/>
                <w:sz w:val="20"/>
                <w:szCs w:val="20"/>
                <w:lang w:val="it-IT" w:eastAsia="it-IT" w:bidi="ar-SA"/>
              </w:rPr>
            </w:r>
          </w:p>
          <w:p>
            <w:pPr>
              <w:pStyle w:val="Normal"/>
              <w:widowControl w:val="false"/>
              <w:spacing w:before="0" w:after="0"/>
              <w:jc w:val="center"/>
              <w:rPr>
                <w:rFonts w:eastAsia="Times New Roman" w:cs="Times New Roman"/>
                <w:b/>
                <w:b/>
                <w:bCs/>
                <w:kern w:val="0"/>
                <w:sz w:val="20"/>
                <w:szCs w:val="20"/>
                <w:lang w:val="it-IT" w:eastAsia="it-IT" w:bidi="ar-SA"/>
              </w:rPr>
            </w:pPr>
            <w:r>
              <w:rPr>
                <w:rFonts w:eastAsia="Times New Roman" w:cs="Times New Roman"/>
                <w:b/>
                <w:bCs/>
                <w:kern w:val="0"/>
                <w:sz w:val="20"/>
                <w:szCs w:val="20"/>
                <w:lang w:val="it-IT" w:eastAsia="it-IT" w:bidi="ar-SA"/>
              </w:rPr>
              <w:t>Tipo di regione</w:t>
            </w:r>
          </w:p>
        </w:tc>
        <w:tc>
          <w:tcPr>
            <w:tcW w:w="7229" w:type="dxa"/>
            <w:gridSpan w:val="3"/>
            <w:tcBorders/>
            <w:shd w:fill="F2F2F2" w:val="clear"/>
          </w:tcPr>
          <w:p>
            <w:pPr>
              <w:pStyle w:val="Normal"/>
              <w:widowControl w:val="false"/>
              <w:spacing w:before="0" w:after="0"/>
              <w:jc w:val="center"/>
              <w:rPr>
                <w:rFonts w:eastAsia="Times New Roman" w:cs="Times New Roman"/>
                <w:b/>
                <w:b/>
                <w:bCs/>
                <w:kern w:val="0"/>
                <w:sz w:val="20"/>
                <w:szCs w:val="20"/>
                <w:lang w:val="it-IT" w:eastAsia="it-IT" w:bidi="ar-SA"/>
              </w:rPr>
            </w:pPr>
            <w:r>
              <w:rPr>
                <w:rFonts w:eastAsia="Times New Roman" w:cs="Times New Roman"/>
                <w:b/>
                <w:bCs/>
                <w:kern w:val="0"/>
                <w:sz w:val="20"/>
                <w:szCs w:val="20"/>
                <w:lang w:val="it-IT" w:eastAsia="it-IT" w:bidi="ar-SA"/>
              </w:rPr>
              <w:t>Tassi cofinanziamento UE</w:t>
            </w:r>
          </w:p>
        </w:tc>
      </w:tr>
      <w:tr>
        <w:trPr/>
        <w:tc>
          <w:tcPr>
            <w:tcW w:w="2353" w:type="dxa"/>
            <w:vMerge w:val="continue"/>
            <w:tcBorders/>
            <w:shd w:fill="F2F2F2" w:val="clear"/>
          </w:tcPr>
          <w:p>
            <w:pPr>
              <w:pStyle w:val="Normal"/>
              <w:widowControl w:val="false"/>
              <w:suppressAutoHyphens w:val="true"/>
              <w:bidi w:val="0"/>
              <w:spacing w:lineRule="auto" w:line="259" w:before="0" w:after="160"/>
              <w:jc w:val="left"/>
              <w:rPr/>
            </w:pPr>
            <w:r>
              <w:rPr/>
            </w:r>
          </w:p>
        </w:tc>
        <w:tc>
          <w:tcPr>
            <w:tcW w:w="2417" w:type="dxa"/>
            <w:tcBorders/>
            <w:shd w:fill="F2F2F2" w:val="clear"/>
          </w:tcPr>
          <w:p>
            <w:pPr>
              <w:pStyle w:val="Normal"/>
              <w:widowControl w:val="false"/>
              <w:spacing w:before="0" w:after="0"/>
              <w:jc w:val="center"/>
              <w:rPr>
                <w:rFonts w:eastAsia="Times New Roman" w:cs="Times New Roman"/>
                <w:b/>
                <w:b/>
                <w:bCs/>
                <w:kern w:val="0"/>
                <w:sz w:val="20"/>
                <w:szCs w:val="20"/>
                <w:lang w:val="it-IT" w:eastAsia="it-IT" w:bidi="ar-SA"/>
              </w:rPr>
            </w:pPr>
            <w:r>
              <w:rPr>
                <w:rFonts w:eastAsia="Times New Roman" w:cs="Times New Roman"/>
                <w:b/>
                <w:bCs/>
                <w:kern w:val="0"/>
                <w:sz w:val="20"/>
                <w:szCs w:val="20"/>
                <w:lang w:val="it-IT" w:eastAsia="it-IT" w:bidi="ar-SA"/>
              </w:rPr>
              <w:t>Tasso unico per l’intero PSR</w:t>
            </w:r>
          </w:p>
        </w:tc>
        <w:tc>
          <w:tcPr>
            <w:tcW w:w="2400" w:type="dxa"/>
            <w:tcBorders/>
            <w:shd w:fill="F2F2F2" w:val="clear"/>
          </w:tcPr>
          <w:p>
            <w:pPr>
              <w:pStyle w:val="Normal"/>
              <w:widowControl w:val="false"/>
              <w:spacing w:before="0" w:after="0"/>
              <w:jc w:val="center"/>
              <w:rPr>
                <w:rFonts w:eastAsia="Times New Roman" w:cs="Times New Roman"/>
                <w:b/>
                <w:b/>
                <w:bCs/>
                <w:kern w:val="0"/>
                <w:sz w:val="20"/>
                <w:szCs w:val="20"/>
                <w:lang w:val="it-IT" w:eastAsia="it-IT" w:bidi="ar-SA"/>
              </w:rPr>
            </w:pPr>
            <w:r>
              <w:rPr>
                <w:rFonts w:eastAsia="Times New Roman" w:cs="Times New Roman"/>
                <w:b/>
                <w:bCs/>
                <w:kern w:val="0"/>
                <w:sz w:val="20"/>
                <w:szCs w:val="20"/>
                <w:lang w:val="it-IT" w:eastAsia="it-IT" w:bidi="ar-SA"/>
              </w:rPr>
              <w:t>Deroga per misure ambientali</w:t>
            </w:r>
            <w:r>
              <w:rPr>
                <w:rStyle w:val="Richiamoallanotaapidipagina"/>
                <w:rFonts w:eastAsia="Times New Roman" w:cs="Times New Roman"/>
                <w:b/>
                <w:bCs/>
                <w:kern w:val="0"/>
                <w:sz w:val="20"/>
                <w:szCs w:val="20"/>
                <w:lang w:val="it-IT" w:eastAsia="it-IT" w:bidi="ar-SA"/>
              </w:rPr>
              <w:footnoteReference w:id="2"/>
            </w:r>
          </w:p>
        </w:tc>
        <w:tc>
          <w:tcPr>
            <w:tcW w:w="2412" w:type="dxa"/>
            <w:tcBorders/>
            <w:shd w:fill="F2F2F2" w:val="clear"/>
          </w:tcPr>
          <w:p>
            <w:pPr>
              <w:pStyle w:val="Normal"/>
              <w:widowControl w:val="false"/>
              <w:spacing w:before="0" w:after="0"/>
              <w:jc w:val="center"/>
              <w:rPr>
                <w:rFonts w:eastAsia="Times New Roman" w:cs="Times New Roman"/>
                <w:b/>
                <w:b/>
                <w:bCs/>
                <w:kern w:val="0"/>
                <w:sz w:val="20"/>
                <w:szCs w:val="20"/>
                <w:lang w:val="it-IT" w:eastAsia="it-IT" w:bidi="ar-SA"/>
              </w:rPr>
            </w:pPr>
            <w:r>
              <w:rPr>
                <w:rFonts w:eastAsia="Times New Roman" w:cs="Times New Roman"/>
                <w:b/>
                <w:bCs/>
                <w:kern w:val="0"/>
                <w:sz w:val="20"/>
                <w:szCs w:val="20"/>
                <w:lang w:val="it-IT" w:eastAsia="it-IT" w:bidi="ar-SA"/>
              </w:rPr>
              <w:t>Deroga per altre misure</w:t>
            </w:r>
            <w:r>
              <w:rPr>
                <w:rStyle w:val="Richiamoallanotaapidipagina"/>
                <w:rFonts w:eastAsia="Times New Roman" w:cs="Times New Roman"/>
                <w:b/>
                <w:bCs/>
                <w:kern w:val="0"/>
                <w:sz w:val="20"/>
                <w:szCs w:val="20"/>
                <w:lang w:val="it-IT" w:eastAsia="it-IT" w:bidi="ar-SA"/>
              </w:rPr>
              <w:footnoteReference w:id="3"/>
            </w:r>
          </w:p>
        </w:tc>
      </w:tr>
      <w:tr>
        <w:trPr>
          <w:trHeight w:val="327" w:hRule="atLeast"/>
        </w:trPr>
        <w:tc>
          <w:tcPr>
            <w:tcW w:w="2353" w:type="dxa"/>
            <w:tcBorders/>
            <w:shd w:fill="EAF1DD" w:val="clear"/>
          </w:tcPr>
          <w:p>
            <w:pPr>
              <w:pStyle w:val="Normal"/>
              <w:widowControl w:val="false"/>
              <w:spacing w:before="0" w:after="0"/>
              <w:jc w:val="both"/>
              <w:rPr>
                <w:rFonts w:eastAsia="Times New Roman" w:cs="Times New Roman"/>
                <w:b/>
                <w:b/>
                <w:bCs/>
                <w:kern w:val="0"/>
                <w:sz w:val="20"/>
                <w:szCs w:val="20"/>
                <w:lang w:val="it-IT" w:eastAsia="it-IT" w:bidi="ar-SA"/>
              </w:rPr>
            </w:pPr>
            <w:r>
              <w:rPr>
                <w:rFonts w:eastAsia="Times New Roman" w:cs="Times New Roman"/>
                <w:b/>
                <w:bCs/>
                <w:kern w:val="0"/>
                <w:sz w:val="20"/>
                <w:szCs w:val="20"/>
                <w:lang w:val="it-IT" w:eastAsia="it-IT" w:bidi="ar-SA"/>
              </w:rPr>
              <w:t>Tassi di cofinanziamento massimi per le regioni più sviluppate</w:t>
            </w:r>
            <w:r>
              <w:rPr>
                <w:rFonts w:eastAsia="Times New Roman" w:cs="Times New Roman"/>
                <w:b/>
                <w:bCs/>
                <w:kern w:val="0"/>
                <w:sz w:val="20"/>
                <w:szCs w:val="20"/>
                <w:shd w:fill="auto" w:val="clear"/>
                <w:lang w:val="it-IT" w:eastAsia="it-IT" w:bidi="ar-SA"/>
              </w:rPr>
              <w:t xml:space="preserve"> (ex art. 59)</w:t>
            </w:r>
          </w:p>
        </w:tc>
        <w:tc>
          <w:tcPr>
            <w:tcW w:w="2417" w:type="dxa"/>
            <w:tcBorders/>
            <w:shd w:fill="EAF1DD" w:val="clear"/>
          </w:tcPr>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r>
          </w:p>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t>53%</w:t>
            </w:r>
          </w:p>
        </w:tc>
        <w:tc>
          <w:tcPr>
            <w:tcW w:w="2400" w:type="dxa"/>
            <w:tcBorders/>
            <w:shd w:fill="EAF1DD" w:val="clear"/>
          </w:tcPr>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r>
          </w:p>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t>75%</w:t>
            </w:r>
          </w:p>
        </w:tc>
        <w:tc>
          <w:tcPr>
            <w:tcW w:w="2412" w:type="dxa"/>
            <w:tcBorders/>
            <w:shd w:fill="EAF1DD" w:val="clear"/>
          </w:tcPr>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r>
          </w:p>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t>80%</w:t>
            </w:r>
          </w:p>
        </w:tc>
      </w:tr>
      <w:tr>
        <w:trPr>
          <w:trHeight w:val="275" w:hRule="atLeast"/>
        </w:trPr>
        <w:tc>
          <w:tcPr>
            <w:tcW w:w="2353" w:type="dxa"/>
            <w:tcBorders/>
            <w:shd w:fill="DBE5F1" w:val="clear"/>
          </w:tcPr>
          <w:p>
            <w:pPr>
              <w:pStyle w:val="Normal"/>
              <w:widowControl w:val="false"/>
              <w:spacing w:before="0" w:after="0"/>
              <w:jc w:val="both"/>
              <w:rPr>
                <w:rFonts w:eastAsia="Times New Roman" w:cs="Times New Roman"/>
                <w:b/>
                <w:b/>
                <w:bCs/>
                <w:kern w:val="0"/>
                <w:sz w:val="20"/>
                <w:szCs w:val="20"/>
                <w:lang w:val="it-IT" w:eastAsia="it-IT" w:bidi="ar-SA"/>
              </w:rPr>
            </w:pPr>
            <w:r>
              <w:rPr>
                <w:rFonts w:eastAsia="Times New Roman" w:cs="Times New Roman"/>
                <w:b/>
                <w:bCs/>
                <w:kern w:val="0"/>
                <w:sz w:val="20"/>
                <w:szCs w:val="20"/>
                <w:lang w:val="it-IT" w:eastAsia="it-IT" w:bidi="ar-SA"/>
              </w:rPr>
              <w:t>Regione Piemonte (tassi attuali)</w:t>
            </w:r>
          </w:p>
        </w:tc>
        <w:tc>
          <w:tcPr>
            <w:tcW w:w="2417" w:type="dxa"/>
            <w:tcBorders/>
            <w:shd w:fill="DBE5F1" w:val="clear"/>
          </w:tcPr>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t>43,12%</w:t>
            </w:r>
          </w:p>
        </w:tc>
        <w:tc>
          <w:tcPr>
            <w:tcW w:w="2400" w:type="dxa"/>
            <w:tcBorders/>
            <w:shd w:fill="DBE5F1" w:val="clear"/>
          </w:tcPr>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t>43,12%</w:t>
            </w:r>
          </w:p>
        </w:tc>
        <w:tc>
          <w:tcPr>
            <w:tcW w:w="2412" w:type="dxa"/>
            <w:tcBorders/>
            <w:shd w:fill="DBE5F1" w:val="clear"/>
          </w:tcPr>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t>43,12%</w:t>
            </w:r>
          </w:p>
        </w:tc>
      </w:tr>
      <w:tr>
        <w:trPr>
          <w:trHeight w:val="275" w:hRule="atLeast"/>
        </w:trPr>
        <w:tc>
          <w:tcPr>
            <w:tcW w:w="2353" w:type="dxa"/>
            <w:tcBorders/>
            <w:shd w:fill="DBE5F1" w:val="clear"/>
          </w:tcPr>
          <w:p>
            <w:pPr>
              <w:pStyle w:val="Normal"/>
              <w:widowControl w:val="false"/>
              <w:spacing w:before="0" w:after="0"/>
              <w:jc w:val="both"/>
              <w:rPr>
                <w:rFonts w:eastAsia="Times New Roman" w:cs="Times New Roman"/>
                <w:b/>
                <w:b/>
                <w:bCs/>
                <w:kern w:val="0"/>
                <w:sz w:val="20"/>
                <w:szCs w:val="20"/>
                <w:lang w:val="it-IT" w:eastAsia="it-IT" w:bidi="ar-SA"/>
              </w:rPr>
            </w:pPr>
            <w:r>
              <w:rPr>
                <w:rFonts w:eastAsia="Times New Roman" w:cs="Times New Roman"/>
                <w:b/>
                <w:bCs/>
                <w:kern w:val="0"/>
                <w:sz w:val="20"/>
                <w:szCs w:val="20"/>
                <w:lang w:val="it-IT" w:eastAsia="it-IT" w:bidi="ar-SA"/>
              </w:rPr>
              <w:t>Regione Piemonte (nuovi tassi)</w:t>
            </w:r>
          </w:p>
        </w:tc>
        <w:tc>
          <w:tcPr>
            <w:tcW w:w="2417" w:type="dxa"/>
            <w:tcBorders/>
            <w:shd w:fill="DBE5F1" w:val="clear"/>
          </w:tcPr>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t>53%</w:t>
            </w:r>
          </w:p>
        </w:tc>
        <w:tc>
          <w:tcPr>
            <w:tcW w:w="2400" w:type="dxa"/>
            <w:tcBorders/>
            <w:shd w:fill="DBE5F1" w:val="clear"/>
          </w:tcPr>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t>75%</w:t>
            </w:r>
          </w:p>
        </w:tc>
        <w:tc>
          <w:tcPr>
            <w:tcW w:w="2412" w:type="dxa"/>
            <w:tcBorders/>
            <w:shd w:fill="DBE5F1" w:val="clear"/>
          </w:tcPr>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t>75%</w:t>
            </w:r>
          </w:p>
          <w:p>
            <w:pPr>
              <w:pStyle w:val="Normal"/>
              <w:widowControl w:val="false"/>
              <w:spacing w:before="0" w:after="0"/>
              <w:jc w:val="center"/>
              <w:rPr>
                <w:rFonts w:ascii="Calibri" w:hAnsi="Calibri" w:eastAsia="Times New Roman" w:cs="Times New Roman"/>
                <w:kern w:val="0"/>
                <w:sz w:val="20"/>
                <w:szCs w:val="20"/>
                <w:lang w:val="it-IT" w:eastAsia="it-IT" w:bidi="ar-SA"/>
              </w:rPr>
            </w:pPr>
            <w:r>
              <w:rPr>
                <w:rFonts w:eastAsia="Times New Roman" w:cs="Times New Roman"/>
                <w:kern w:val="0"/>
                <w:sz w:val="20"/>
                <w:szCs w:val="20"/>
                <w:lang w:val="it-IT" w:eastAsia="it-IT" w:bidi="ar-SA"/>
              </w:rPr>
            </w:r>
          </w:p>
        </w:tc>
      </w:tr>
    </w:tbl>
    <w:p>
      <w:pPr>
        <w:pStyle w:val="Normal"/>
        <w:spacing w:before="120" w:after="0"/>
        <w:jc w:val="both"/>
        <w:rPr>
          <w:rFonts w:ascii="Calibri" w:hAnsi="Calibri" w:eastAsia="Calibri"/>
          <w:color w:val="auto"/>
          <w:kern w:val="0"/>
          <w:sz w:val="12"/>
          <w:szCs w:val="12"/>
          <w:shd w:fill="99FF33" w:val="clear"/>
          <w:lang w:val="it-IT" w:eastAsia="en-US" w:bidi="ar-SA"/>
        </w:rPr>
      </w:pPr>
      <w:r>
        <w:rPr>
          <w:rFonts w:eastAsia="Calibri"/>
          <w:color w:val="000000"/>
          <w:kern w:val="0"/>
          <w:sz w:val="12"/>
          <w:szCs w:val="12"/>
          <w:shd w:fill="99FF33" w:val="clear"/>
          <w:lang w:val="it-IT" w:eastAsia="en-US" w:bidi="ar-SA"/>
        </w:rPr>
      </w:r>
    </w:p>
    <w:p>
      <w:pPr>
        <w:pStyle w:val="Normal"/>
        <w:spacing w:before="120" w:after="0"/>
        <w:jc w:val="both"/>
        <w:rPr>
          <w:shd w:fill="auto" w:val="clear"/>
        </w:rPr>
      </w:pPr>
      <w:r>
        <w:rPr>
          <w:rFonts w:eastAsia="Calibri"/>
          <w:color w:val="000000"/>
          <w:kern w:val="0"/>
          <w:sz w:val="22"/>
          <w:szCs w:val="22"/>
          <w:shd w:fill="auto" w:val="clear"/>
          <w:lang w:val="it-IT" w:eastAsia="en-US" w:bidi="ar-SA"/>
        </w:rPr>
        <w:t xml:space="preserve">La </w:t>
      </w:r>
      <w:r>
        <w:rPr>
          <w:sz w:val="22"/>
          <w:szCs w:val="22"/>
          <w:shd w:fill="auto" w:val="clear"/>
        </w:rPr>
        <w:t>modifica dei tassi di cofinanziamento, calcolata sulla stima dell’importo dei fondi ancora da spendere al 1/04/2025, comporta le seguenti variazioni a livello complessivo:</w:t>
      </w:r>
    </w:p>
    <w:p>
      <w:pPr>
        <w:pStyle w:val="Normal"/>
        <w:spacing w:before="120" w:after="0"/>
        <w:jc w:val="both"/>
        <w:rPr>
          <w:b/>
          <w:b/>
          <w:sz w:val="28"/>
          <w:szCs w:val="28"/>
          <w:shd w:fill="auto" w:val="clear"/>
        </w:rPr>
      </w:pPr>
      <w:r>
        <w:rPr>
          <w:b/>
          <w:sz w:val="28"/>
          <w:szCs w:val="28"/>
        </w:rPr>
      </w:r>
    </w:p>
    <w:p>
      <w:pPr>
        <w:pStyle w:val="Normal"/>
        <w:spacing w:before="120" w:after="0"/>
        <w:jc w:val="both"/>
        <w:rPr>
          <w:b/>
          <w:b/>
          <w:sz w:val="28"/>
          <w:szCs w:val="28"/>
        </w:rPr>
      </w:pPr>
      <w:r>
        <w:rPr>
          <w:b/>
          <w:sz w:val="28"/>
          <w:szCs w:val="28"/>
        </w:rPr>
        <w:drawing>
          <wp:anchor behindDoc="0" distT="0" distB="0" distL="0" distR="0" simplePos="0" locked="0" layoutInCell="0" allowOverlap="1" relativeHeight="4">
            <wp:simplePos x="0" y="0"/>
            <wp:positionH relativeFrom="column">
              <wp:align>center</wp:align>
            </wp:positionH>
            <wp:positionV relativeFrom="paragraph">
              <wp:posOffset>635</wp:posOffset>
            </wp:positionV>
            <wp:extent cx="6120130" cy="2783840"/>
            <wp:effectExtent l="0" t="0" r="0" b="0"/>
            <wp:wrapSquare wrapText="largest"/>
            <wp:docPr id="14" name="Immagin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6" descr=""/>
                    <pic:cNvPicPr>
                      <a:picLocks noChangeAspect="1" noChangeArrowheads="1"/>
                    </pic:cNvPicPr>
                  </pic:nvPicPr>
                  <pic:blipFill>
                    <a:blip r:embed="rId7"/>
                    <a:stretch>
                      <a:fillRect/>
                    </a:stretch>
                  </pic:blipFill>
                  <pic:spPr bwMode="auto">
                    <a:xfrm>
                      <a:off x="0" y="0"/>
                      <a:ext cx="6120130" cy="2783840"/>
                    </a:xfrm>
                    <a:prstGeom prst="rect">
                      <a:avLst/>
                    </a:prstGeom>
                  </pic:spPr>
                </pic:pic>
              </a:graphicData>
            </a:graphic>
          </wp:anchor>
        </w:drawing>
      </w:r>
    </w:p>
    <w:p>
      <w:pPr>
        <w:pStyle w:val="Normal"/>
        <w:spacing w:before="120" w:after="0"/>
        <w:jc w:val="both"/>
        <w:rPr>
          <w:shd w:fill="auto" w:val="clear"/>
        </w:rPr>
      </w:pPr>
      <w:r>
        <w:rPr>
          <w:b/>
          <w:bCs/>
          <w:shd w:fill="auto" w:val="clear"/>
        </w:rPr>
        <w:t>3) Switch fondi (cofinanziato - top up) tra l’Operazione 6.1.1 e le Misure 10 e 1</w:t>
      </w:r>
      <w:r>
        <w:rPr>
          <w:b/>
          <w:bCs/>
          <w:shd w:fill="auto" w:val="clear"/>
        </w:rPr>
        <w:t>3</w:t>
      </w:r>
    </w:p>
    <w:p>
      <w:pPr>
        <w:pStyle w:val="Normal"/>
        <w:numPr>
          <w:ilvl w:val="0"/>
          <w:numId w:val="2"/>
        </w:numPr>
        <w:spacing w:before="120" w:after="0"/>
        <w:jc w:val="both"/>
        <w:rPr>
          <w:shd w:fill="auto" w:val="clear"/>
        </w:rPr>
      </w:pPr>
      <w:r>
        <w:rPr>
          <w:b w:val="false"/>
          <w:bCs w:val="false"/>
          <w:shd w:fill="auto" w:val="clear"/>
        </w:rPr>
        <w:t>Sempre al fine di dare priorità alla spesa FEASR e facilitare al contempo la gestione ed il monitoraggio dei fondi, limitando il più possibile il finanziamento di una stessa pratica con diverse tipologie di fondo, si intende rimodulare la composizione interna tra cofinanziato e top-up aggiuntivi, a budget complessivo invariato, delle seguenti misure:</w:t>
      </w:r>
    </w:p>
    <w:p>
      <w:pPr>
        <w:pStyle w:val="Normal"/>
        <w:numPr>
          <w:ilvl w:val="0"/>
          <w:numId w:val="4"/>
        </w:numPr>
        <w:spacing w:before="120" w:after="0"/>
        <w:jc w:val="both"/>
        <w:rPr>
          <w:shd w:fill="auto" w:val="clear"/>
        </w:rPr>
      </w:pPr>
      <w:r>
        <w:rPr>
          <w:b w:val="false"/>
          <w:bCs w:val="false"/>
          <w:shd w:fill="auto" w:val="clear"/>
        </w:rPr>
        <w:t>M10 (pagamenti agroambientali) e M13 (indennità compensativa zone montane), che presentano una maggiore velocità di spesa (in quanto, da regolamento, il 95% dei pagamenti deve essere effettuato entro giugno 2024) e su cui quasi tutte le domande hanno già ricevuto l’anticipo con fondi cofinanziati;</w:t>
      </w:r>
    </w:p>
    <w:p>
      <w:pPr>
        <w:pStyle w:val="Normal"/>
        <w:numPr>
          <w:ilvl w:val="0"/>
          <w:numId w:val="4"/>
        </w:numPr>
        <w:spacing w:before="120" w:after="0"/>
        <w:jc w:val="both"/>
        <w:rPr>
          <w:shd w:fill="auto" w:val="clear"/>
        </w:rPr>
      </w:pPr>
      <w:r>
        <w:rPr>
          <w:b w:val="false"/>
          <w:bCs w:val="false"/>
          <w:shd w:fill="auto" w:val="clear"/>
        </w:rPr>
        <w:t xml:space="preserve">Operazione 6.1.1, </w:t>
      </w:r>
      <w:r>
        <w:rPr>
          <w:b w:val="false"/>
          <w:bCs w:val="false"/>
          <w:shd w:fill="auto" w:val="clear"/>
        </w:rPr>
        <w:t>su cui nel dicembre 2024 è stato</w:t>
      </w:r>
      <w:r>
        <w:rPr>
          <w:b w:val="false"/>
          <w:bCs w:val="false"/>
          <w:shd w:fill="auto" w:val="clear"/>
        </w:rPr>
        <w:t xml:space="preserve"> aperto </w:t>
      </w:r>
      <w:r>
        <w:rPr>
          <w:b w:val="false"/>
          <w:bCs w:val="false"/>
          <w:shd w:fill="auto" w:val="clear"/>
        </w:rPr>
        <w:t>un</w:t>
      </w:r>
      <w:r>
        <w:rPr>
          <w:b w:val="false"/>
          <w:bCs w:val="false"/>
          <w:shd w:fill="auto" w:val="clear"/>
        </w:rPr>
        <w:t xml:space="preserve"> bando che dovrebbe chiudersi a fine gennaio, </w:t>
      </w:r>
      <w:r>
        <w:rPr>
          <w:b w:val="false"/>
          <w:bCs w:val="false"/>
          <w:shd w:fill="auto" w:val="clear"/>
        </w:rPr>
        <w:t xml:space="preserve">e che </w:t>
      </w:r>
      <w:r>
        <w:rPr>
          <w:b w:val="false"/>
          <w:bCs w:val="false"/>
          <w:shd w:fill="auto" w:val="clear"/>
        </w:rPr>
        <w:t xml:space="preserve">potrebbe avere criticità nella liquidazione di tutta la spesa </w:t>
      </w:r>
      <w:r>
        <w:rPr>
          <w:rFonts w:eastAsia="Calibri"/>
          <w:b w:val="false"/>
          <w:bCs w:val="false"/>
          <w:shd w:fill="auto" w:val="clear"/>
        </w:rPr>
        <w:t>entro la fine della programmazione</w:t>
      </w:r>
      <w:r>
        <w:rPr>
          <w:b w:val="false"/>
          <w:bCs w:val="false"/>
          <w:shd w:fill="auto" w:val="clear"/>
        </w:rPr>
        <w:t xml:space="preserve">. </w:t>
      </w:r>
    </w:p>
    <w:p>
      <w:pPr>
        <w:pStyle w:val="Normal"/>
        <w:numPr>
          <w:ilvl w:val="0"/>
          <w:numId w:val="2"/>
        </w:numPr>
        <w:spacing w:before="120" w:after="0"/>
        <w:jc w:val="both"/>
        <w:rPr>
          <w:shd w:fill="auto" w:val="clear"/>
        </w:rPr>
      </w:pPr>
      <w:r>
        <w:rPr>
          <w:b w:val="false"/>
          <w:bCs w:val="false"/>
          <w:shd w:fill="auto" w:val="clear"/>
        </w:rPr>
        <w:t>Di fatto, si travasano circa 3M€ di cofinanziato da M6.1 a M 10 e 13, compensando in egual misura con fondi top-up; tale variazione non modifica la dotazione complessiva delle misure interessate.</w:t>
      </w:r>
    </w:p>
    <w:p>
      <w:pPr>
        <w:pStyle w:val="Normal"/>
        <w:numPr>
          <w:ilvl w:val="0"/>
          <w:numId w:val="2"/>
        </w:numPr>
        <w:spacing w:before="120" w:after="0"/>
        <w:jc w:val="both"/>
        <w:rPr>
          <w:shd w:fill="auto" w:val="clear"/>
        </w:rPr>
      </w:pPr>
      <w:r>
        <w:rPr>
          <w:rFonts w:eastAsia="Calibri"/>
          <w:b w:val="false"/>
          <w:bCs w:val="false"/>
          <w:i/>
          <w:iCs/>
          <w:color w:val="000000"/>
          <w:kern w:val="0"/>
          <w:sz w:val="22"/>
          <w:szCs w:val="22"/>
          <w:u w:val="single"/>
          <w:shd w:fill="auto" w:val="clear"/>
          <w:lang w:val="it-IT" w:eastAsia="en-US" w:bidi="ar-SA"/>
        </w:rPr>
        <w:t>Gli importi presenti nella seguente tabella tengono già conto della modifica ai tassi di cofinanziamento di cui al punto 2).</w:t>
      </w:r>
    </w:p>
    <w:p>
      <w:pPr>
        <w:pStyle w:val="Normal"/>
        <w:numPr>
          <w:ilvl w:val="0"/>
          <w:numId w:val="2"/>
        </w:numPr>
        <w:spacing w:before="120" w:after="0"/>
        <w:jc w:val="both"/>
        <w:rPr>
          <w:sz w:val="12"/>
          <w:szCs w:val="12"/>
        </w:rPr>
      </w:pPr>
      <w:r>
        <w:rPr>
          <w:sz w:val="12"/>
          <w:szCs w:val="12"/>
        </w:rPr>
      </w:r>
    </w:p>
    <w:p>
      <w:pPr>
        <w:pStyle w:val="Normal"/>
        <w:numPr>
          <w:ilvl w:val="0"/>
          <w:numId w:val="2"/>
        </w:numPr>
        <w:spacing w:before="120" w:after="0"/>
        <w:jc w:val="both"/>
        <w:rPr>
          <w:shd w:fill="auto" w:val="clear"/>
        </w:rPr>
      </w:pPr>
      <w:r>
        <w:rPr/>
        <w:drawing>
          <wp:anchor behindDoc="0" distT="0" distB="0" distL="0" distR="0" simplePos="0" locked="0" layoutInCell="0" allowOverlap="1" relativeHeight="6">
            <wp:simplePos x="0" y="0"/>
            <wp:positionH relativeFrom="column">
              <wp:align>center</wp:align>
            </wp:positionH>
            <wp:positionV relativeFrom="paragraph">
              <wp:posOffset>635</wp:posOffset>
            </wp:positionV>
            <wp:extent cx="5458460" cy="2778760"/>
            <wp:effectExtent l="0" t="0" r="0" b="0"/>
            <wp:wrapTopAndBottom/>
            <wp:docPr id="15" name="Immagin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7" descr=""/>
                    <pic:cNvPicPr>
                      <a:picLocks noChangeAspect="1" noChangeArrowheads="1"/>
                    </pic:cNvPicPr>
                  </pic:nvPicPr>
                  <pic:blipFill>
                    <a:blip r:embed="rId8"/>
                    <a:stretch>
                      <a:fillRect/>
                    </a:stretch>
                  </pic:blipFill>
                  <pic:spPr bwMode="auto">
                    <a:xfrm>
                      <a:off x="0" y="0"/>
                      <a:ext cx="5458460" cy="2778760"/>
                    </a:xfrm>
                    <a:prstGeom prst="rect">
                      <a:avLst/>
                    </a:prstGeom>
                  </pic:spPr>
                </pic:pic>
              </a:graphicData>
            </a:graphic>
          </wp:anchor>
        </w:drawing>
      </w:r>
    </w:p>
    <w:p>
      <w:pPr>
        <w:pStyle w:val="Normal"/>
        <w:numPr>
          <w:ilvl w:val="0"/>
          <w:numId w:val="2"/>
        </w:numPr>
        <w:spacing w:before="120" w:after="0"/>
        <w:jc w:val="both"/>
        <w:rPr>
          <w:sz w:val="12"/>
          <w:szCs w:val="12"/>
        </w:rPr>
      </w:pPr>
      <w:r>
        <w:rPr>
          <w:sz w:val="12"/>
          <w:szCs w:val="12"/>
        </w:rPr>
      </w:r>
    </w:p>
    <w:p>
      <w:pPr>
        <w:pStyle w:val="Normal"/>
        <w:rPr>
          <w:b/>
          <w:b/>
          <w:sz w:val="28"/>
          <w:szCs w:val="28"/>
        </w:rPr>
      </w:pPr>
      <w:r>
        <w:rPr>
          <w:b/>
          <w:sz w:val="28"/>
          <w:szCs w:val="28"/>
        </w:rPr>
        <w:t>Descrizione delle modifiche proposte</w:t>
      </w:r>
    </w:p>
    <w:p>
      <w:pPr>
        <w:pStyle w:val="Normal"/>
        <w:rPr/>
      </w:pPr>
      <w:r>
        <w:rPr/>
        <w:t>Per le motivazioni sopra descritte si propongono le seguenti modifiche:</w:t>
      </w:r>
    </w:p>
    <w:p>
      <w:pPr>
        <w:pStyle w:val="Normal"/>
        <w:jc w:val="both"/>
        <w:rPr>
          <w:shd w:fill="auto" w:val="clear"/>
        </w:rPr>
      </w:pPr>
      <w:r>
        <w:rPr>
          <w:shd w:fill="auto" w:val="clear"/>
        </w:rPr>
        <w:t>1) viene stornato da diverse operazioni un import</w:t>
      </w:r>
      <w:r>
        <w:rPr>
          <w:shd w:fill="auto" w:val="clear"/>
        </w:rPr>
        <w:t xml:space="preserve">o pari a </w:t>
      </w:r>
      <w:r>
        <w:rPr>
          <w:shd w:fill="auto" w:val="clear"/>
        </w:rPr>
        <w:t xml:space="preserve">ca. </w:t>
      </w:r>
      <w:r>
        <w:rPr>
          <w:shd w:fill="auto" w:val="clear"/>
        </w:rPr>
        <w:t>10,</w:t>
      </w:r>
      <w:r>
        <w:rPr>
          <w:shd w:fill="auto" w:val="clear"/>
        </w:rPr>
        <w:t xml:space="preserve">46 </w:t>
      </w:r>
      <w:r>
        <w:rPr>
          <w:rFonts w:eastAsia="Calibri"/>
          <w:color w:val="000000"/>
          <w:kern w:val="0"/>
          <w:sz w:val="22"/>
          <w:szCs w:val="22"/>
          <w:shd w:fill="auto" w:val="clear"/>
          <w:lang w:val="it-IT" w:eastAsia="en-US" w:bidi="ar-SA"/>
        </w:rPr>
        <w:t>M</w:t>
      </w:r>
      <w:r>
        <w:rPr>
          <w:shd w:fill="auto" w:val="clear"/>
        </w:rPr>
        <w:t xml:space="preserve">€ di spesa pubblica cofinanziata (di cui </w:t>
      </w:r>
      <w:r>
        <w:rPr>
          <w:shd w:fill="auto" w:val="clear"/>
        </w:rPr>
        <w:t xml:space="preserve">ca. </w:t>
      </w:r>
      <w:r>
        <w:rPr>
          <w:shd w:fill="auto" w:val="clear"/>
        </w:rPr>
        <w:t>4,5</w:t>
      </w:r>
      <w:r>
        <w:rPr>
          <w:shd w:fill="auto" w:val="clear"/>
        </w:rPr>
        <w:t>1</w:t>
      </w:r>
      <w:r>
        <w:rPr>
          <w:shd w:fill="auto" w:val="clear"/>
        </w:rPr>
        <w:t xml:space="preserve"> M€ di quota FEASR</w:t>
      </w:r>
      <w:r>
        <w:rPr>
          <w:shd w:fill="auto" w:val="clear"/>
        </w:rPr>
        <w:t>) destinato a finanziare il bando 2024 dell’Operazione 6.1.1, l’unica che ha ancora la possibilità di utilizzare proficuamente tali fondi.</w:t>
      </w:r>
    </w:p>
    <w:p>
      <w:pPr>
        <w:pStyle w:val="Normal"/>
        <w:jc w:val="both"/>
        <w:rPr>
          <w:shd w:fill="auto" w:val="clear"/>
        </w:rPr>
      </w:pPr>
      <w:r>
        <w:rPr>
          <w:b w:val="false"/>
          <w:bCs w:val="false"/>
          <w:shd w:fill="auto" w:val="clear"/>
        </w:rPr>
        <w:t xml:space="preserve">2) Vengono modificati per tutte le misure i tassi di cofinanziamento (FEASR, Stato, Regione), rimodulando la composizione dei fondi (cofinanziato - top up) all’interno di ciascuna misura, senza variazioni alla sua dotazione </w:t>
      </w:r>
      <w:r>
        <w:rPr>
          <w:rFonts w:eastAsia="Calibri"/>
          <w:b w:val="false"/>
          <w:bCs w:val="false"/>
          <w:color w:val="000000"/>
          <w:kern w:val="0"/>
          <w:sz w:val="22"/>
          <w:szCs w:val="22"/>
          <w:shd w:fill="auto" w:val="clear"/>
          <w:lang w:val="it-IT" w:eastAsia="en-US" w:bidi="ar-SA"/>
        </w:rPr>
        <w:t>totale</w:t>
      </w:r>
      <w:r>
        <w:rPr>
          <w:b w:val="false"/>
          <w:bCs w:val="false"/>
          <w:shd w:fill="auto" w:val="clear"/>
        </w:rPr>
        <w:t>.</w:t>
      </w:r>
    </w:p>
    <w:p>
      <w:pPr>
        <w:pStyle w:val="Normal"/>
        <w:jc w:val="both"/>
        <w:rPr>
          <w:shd w:fill="auto" w:val="clear"/>
        </w:rPr>
      </w:pPr>
      <w:r>
        <w:rPr>
          <w:b w:val="false"/>
          <w:bCs w:val="false"/>
          <w:shd w:fill="auto" w:val="clear"/>
        </w:rPr>
        <w:t xml:space="preserve">Come risultanza complessiva, </w:t>
      </w:r>
      <w:r>
        <w:rPr>
          <w:rFonts w:eastAsia="Calibri"/>
          <w:b w:val="false"/>
          <w:bCs w:val="false"/>
          <w:color w:val="000000"/>
          <w:kern w:val="0"/>
          <w:sz w:val="22"/>
          <w:szCs w:val="22"/>
          <w:shd w:fill="auto" w:val="clear"/>
          <w:lang w:val="it-IT" w:eastAsia="en-US" w:bidi="ar-SA"/>
        </w:rPr>
        <w:t>nel</w:t>
      </w:r>
      <w:r>
        <w:rPr>
          <w:b w:val="false"/>
          <w:bCs w:val="false"/>
          <w:shd w:fill="auto" w:val="clear"/>
        </w:rPr>
        <w:t xml:space="preserve"> PSR vi sarann</w:t>
      </w:r>
      <w:r>
        <w:rPr>
          <w:rFonts w:eastAsia="Calibri"/>
          <w:b w:val="false"/>
          <w:bCs w:val="false"/>
          <w:color w:val="000000"/>
          <w:kern w:val="0"/>
          <w:sz w:val="22"/>
          <w:szCs w:val="22"/>
          <w:shd w:fill="auto" w:val="clear"/>
          <w:lang w:val="it-IT" w:eastAsia="en-US" w:bidi="ar-SA"/>
        </w:rPr>
        <w:t>o 50,4 M€ di cofinanziato in meno e 50,4 di top up in più.</w:t>
      </w:r>
    </w:p>
    <w:p>
      <w:pPr>
        <w:pStyle w:val="Normal"/>
        <w:jc w:val="both"/>
        <w:rPr/>
      </w:pPr>
      <w:r>
        <w:rPr>
          <w:b w:val="false"/>
          <w:bCs w:val="false"/>
        </w:rPr>
        <w:t>3) Le Misure 10 e 13 acquisiscono complessivament</w:t>
      </w:r>
      <w:r>
        <w:rPr>
          <w:b w:val="false"/>
          <w:bCs w:val="false"/>
          <w:shd w:fill="auto" w:val="clear"/>
        </w:rPr>
        <w:t xml:space="preserve">e </w:t>
      </w:r>
      <w:r>
        <w:rPr>
          <w:b w:val="false"/>
          <w:bCs w:val="false"/>
          <w:shd w:fill="auto" w:val="clear"/>
        </w:rPr>
        <w:t>3 M€</w:t>
      </w:r>
      <w:r>
        <w:rPr>
          <w:b w:val="false"/>
          <w:bCs w:val="false"/>
          <w:shd w:fill="auto" w:val="clear"/>
        </w:rPr>
        <w:t xml:space="preserve"> di fondi cofinanziati (di cui 1,9 M€ per M10 e  1,1 M€ per M13) e cedono in egual misura fondi top-up aggiuntivi all’Operazione 6.1.1. Al contempo l’Operazione 6.1.1 acquisisce 3 M€ di fondi top up e cede in egu</w:t>
      </w:r>
      <w:r>
        <w:rPr>
          <w:b w:val="false"/>
          <w:bCs w:val="false"/>
        </w:rPr>
        <w:t>al misura fondi cofinanziati.</w:t>
      </w:r>
    </w:p>
    <w:p>
      <w:pPr>
        <w:pStyle w:val="Normal"/>
        <w:jc w:val="both"/>
        <w:rPr>
          <w:b/>
          <w:b/>
          <w:bCs/>
          <w:sz w:val="4"/>
          <w:szCs w:val="4"/>
          <w:shd w:fill="auto" w:val="clear"/>
        </w:rPr>
      </w:pPr>
      <w:r>
        <w:rPr>
          <w:b/>
          <w:bCs/>
          <w:sz w:val="4"/>
          <w:szCs w:val="4"/>
          <w:shd w:fill="auto" w:val="clear"/>
        </w:rPr>
      </w:r>
    </w:p>
    <w:p>
      <w:pPr>
        <w:pStyle w:val="Normal"/>
        <w:jc w:val="both"/>
        <w:rPr>
          <w:shd w:fill="auto" w:val="clear"/>
        </w:rPr>
      </w:pPr>
      <w:r>
        <w:rPr>
          <w:b/>
          <w:bCs/>
          <w:shd w:fill="auto" w:val="clear"/>
        </w:rPr>
        <w:t>Vengono di conseguenza modificati i capitoli 10 “Piano di finanziamento” e 12 “Finanziamento nazionale integrativo” del PSR, come da Allegato 2 “Modifiche finanziarie ai capitoli 10 e 12 del PSR” alla presente scheda modifiche.</w:t>
      </w:r>
    </w:p>
    <w:p>
      <w:pPr>
        <w:pStyle w:val="Normal"/>
        <w:jc w:val="both"/>
        <w:rPr>
          <w:shd w:fill="auto" w:val="clear"/>
        </w:rPr>
      </w:pPr>
      <w:r>
        <w:rPr>
          <w:b/>
          <w:bCs/>
          <w:shd w:fill="auto" w:val="clear"/>
        </w:rPr>
        <w:t>La tabella finanziaria con il dettaglio per misura, complessivamente risultante dalle modifiche di cui ai punti 1, 2 e 3, è riportata nell’Allegato 1 alla presente scheda modifiche.</w:t>
      </w:r>
    </w:p>
    <w:p>
      <w:pPr>
        <w:pStyle w:val="Titolo2"/>
        <w:numPr>
          <w:ilvl w:val="1"/>
          <w:numId w:val="1"/>
        </w:numPr>
        <w:spacing w:before="250" w:after="122"/>
        <w:jc w:val="both"/>
        <w:rPr/>
      </w:pPr>
      <w:r>
        <w:rPr>
          <w:rFonts w:eastAsia="Calibri" w:ascii="Calibri" w:hAnsi="Calibri"/>
          <w:b/>
          <w:bCs/>
          <w:color w:val="000000"/>
          <w:sz w:val="22"/>
          <w:szCs w:val="22"/>
          <w:u w:val="single"/>
          <w:shd w:fill="auto" w:val="clear"/>
        </w:rPr>
        <w:t xml:space="preserve">Per quanto riguarda le misure che costituiscono regimi di aiuto ai sensi </w:t>
      </w:r>
      <w:r>
        <w:rPr>
          <w:rStyle w:val="Strong"/>
          <w:rFonts w:eastAsia="Calibri" w:ascii="Calibri" w:hAnsi="Calibri"/>
          <w:b/>
          <w:bCs/>
          <w:color w:val="000000"/>
          <w:sz w:val="22"/>
          <w:szCs w:val="22"/>
          <w:u w:val="single"/>
          <w:shd w:fill="auto" w:val="clear"/>
        </w:rPr>
        <w:t>degli artt. 107, 108 e 109 del TFUE, si precisa che gli aggiornamenti degli importi presenti nel Capitolo 13 “Elementi per la valutazione dell’aiuto di Stato” del PSR verranno aggiornati in fase di chiusura del Comitato.</w:t>
      </w:r>
    </w:p>
    <w:p>
      <w:pPr>
        <w:pStyle w:val="Normal"/>
        <w:rPr>
          <w:b/>
          <w:b/>
        </w:rPr>
      </w:pPr>
      <w:r>
        <w:rPr>
          <w:b/>
        </w:rPr>
      </w:r>
    </w:p>
    <w:p>
      <w:pPr>
        <w:pStyle w:val="Normal"/>
        <w:rPr>
          <w:b/>
          <w:b/>
          <w:sz w:val="30"/>
          <w:szCs w:val="30"/>
        </w:rPr>
      </w:pPr>
      <w:r>
        <w:rPr>
          <w:b/>
          <w:sz w:val="30"/>
          <w:szCs w:val="30"/>
        </w:rPr>
        <w:t>Effetti previsti della modifica</w:t>
      </w:r>
    </w:p>
    <w:p>
      <w:pPr>
        <w:pStyle w:val="Normal"/>
        <w:jc w:val="both"/>
        <w:rPr>
          <w:color w:val="auto"/>
          <w:shd w:fill="auto" w:val="clear"/>
        </w:rPr>
      </w:pPr>
      <w:r>
        <w:rPr>
          <w:rFonts w:eastAsia="Calibri"/>
          <w:color w:val="000000"/>
          <w:kern w:val="0"/>
          <w:sz w:val="22"/>
          <w:szCs w:val="22"/>
          <w:u w:val="none"/>
          <w:shd w:fill="auto" w:val="clear"/>
          <w:lang w:val="it-IT" w:eastAsia="en-US" w:bidi="ar-SA"/>
        </w:rPr>
        <w:t xml:space="preserve">1) Sostenere la transizione verso un'agricoltura più moderna, sostenibile e competitiva e rafforzare il rendimento globale e l’ammodernamento delle aziende agricole condotte da giovani agricoltori, al fine di favorire il ricambio generazionale </w:t>
      </w:r>
      <w:r>
        <w:rPr>
          <w:rFonts w:eastAsia="Calibri"/>
          <w:color w:val="000000"/>
          <w:kern w:val="0"/>
          <w:sz w:val="22"/>
          <w:szCs w:val="22"/>
          <w:u w:val="none"/>
          <w:shd w:fill="auto" w:val="clear"/>
          <w:lang w:val="it-IT" w:eastAsia="en-US" w:bidi="ar-SA"/>
        </w:rPr>
        <w:t>n</w:t>
      </w:r>
      <w:r>
        <w:rPr>
          <w:rFonts w:eastAsia="Calibri"/>
          <w:color w:val="000000"/>
          <w:kern w:val="0"/>
          <w:sz w:val="22"/>
          <w:szCs w:val="22"/>
          <w:u w:val="none"/>
          <w:shd w:fill="auto" w:val="clear"/>
          <w:lang w:val="it-IT" w:eastAsia="en-US" w:bidi="ar-SA"/>
        </w:rPr>
        <w:t xml:space="preserve">el </w:t>
      </w:r>
      <w:r>
        <w:rPr>
          <w:rFonts w:eastAsia="Calibri"/>
          <w:color w:val="000000"/>
          <w:kern w:val="0"/>
          <w:sz w:val="22"/>
          <w:szCs w:val="22"/>
          <w:u w:val="none"/>
          <w:shd w:fill="auto" w:val="clear"/>
          <w:lang w:val="it-IT" w:eastAsia="en-US" w:bidi="ar-SA"/>
        </w:rPr>
        <w:t>s</w:t>
      </w:r>
      <w:r>
        <w:rPr>
          <w:rFonts w:eastAsia="Calibri"/>
          <w:color w:val="000000"/>
          <w:kern w:val="0"/>
          <w:sz w:val="22"/>
          <w:szCs w:val="22"/>
          <w:u w:val="none"/>
          <w:shd w:fill="auto" w:val="clear"/>
          <w:lang w:val="it-IT" w:eastAsia="en-US" w:bidi="ar-SA"/>
        </w:rPr>
        <w:t>ettore primario piemontese, incentivando al contempo l'imprenditorialità nelle zone rurali attraverso la creazione di nuove opportunità di lavoro.</w:t>
      </w:r>
    </w:p>
    <w:p>
      <w:pPr>
        <w:pStyle w:val="Normal"/>
        <w:jc w:val="both"/>
        <w:rPr/>
      </w:pPr>
      <w:r>
        <w:rPr/>
        <w:t>2) e 3) Utilizzare prioritariamente le risorse cofinanziate soggette al rischio di disimpegno, senza ridurre la dotazione finanziaria né l’ambizione del programma in termini di obiettivi.</w:t>
      </w:r>
    </w:p>
    <w:p>
      <w:pPr>
        <w:pStyle w:val="Normal"/>
        <w:jc w:val="both"/>
        <w:rPr/>
      </w:pPr>
      <w:r>
        <w:rPr/>
      </w:r>
    </w:p>
    <w:p>
      <w:pPr>
        <w:pStyle w:val="Normal"/>
        <w:rPr>
          <w:b/>
          <w:b/>
          <w:sz w:val="28"/>
          <w:szCs w:val="28"/>
        </w:rPr>
      </w:pPr>
      <w:r>
        <w:rPr>
          <w:b/>
          <w:sz w:val="28"/>
          <w:szCs w:val="28"/>
        </w:rPr>
        <w:t>Impatto della modifica sugli indicatori (eventuale necessità di adattamento della quantificazione degli indicatori)</w:t>
      </w:r>
    </w:p>
    <w:p>
      <w:pPr>
        <w:pStyle w:val="Normal"/>
        <w:jc w:val="both"/>
        <w:rPr>
          <w:b w:val="false"/>
          <w:b w:val="false"/>
          <w:bCs w:val="false"/>
        </w:rPr>
      </w:pPr>
      <w:r>
        <w:rPr>
          <w:b w:val="false"/>
          <w:bCs w:val="false"/>
          <w:shd w:fill="auto" w:val="clear"/>
        </w:rPr>
        <w:t xml:space="preserve">Gli indicatori di output saranno modificati come riportato nell’apposito Allegato 3 “Modifica agli indicatori – Capitolo 11 e 7 del PSR 14-22” alla presente scheda modifiche. Si precisa che tale lieve modifica del </w:t>
      </w:r>
      <w:r>
        <w:rPr>
          <w:b w:val="false"/>
          <w:bCs w:val="false"/>
          <w:shd w:fill="auto" w:val="clear"/>
        </w:rPr>
        <w:t>C</w:t>
      </w:r>
      <w:r>
        <w:rPr>
          <w:b w:val="false"/>
          <w:bCs w:val="false"/>
          <w:shd w:fill="auto" w:val="clear"/>
        </w:rPr>
        <w:t>ap</w:t>
      </w:r>
      <w:r>
        <w:rPr>
          <w:b w:val="false"/>
          <w:bCs w:val="false"/>
          <w:shd w:fill="auto" w:val="clear"/>
        </w:rPr>
        <w:t>itolo</w:t>
      </w:r>
      <w:r>
        <w:rPr>
          <w:b w:val="false"/>
          <w:bCs w:val="false"/>
          <w:shd w:fill="auto" w:val="clear"/>
        </w:rPr>
        <w:t xml:space="preserve"> 11 discende esclusivamente dallo spostamento di fondi sull’Operazione 6.1.1 di cui al punto 1).</w:t>
      </w:r>
    </w:p>
    <w:p>
      <w:pPr>
        <w:pStyle w:val="Normal"/>
        <w:jc w:val="both"/>
        <w:rPr/>
      </w:pPr>
      <w:r>
        <w:rPr>
          <w:shd w:fill="auto" w:val="clear"/>
        </w:rPr>
        <w:t xml:space="preserve">Gli indicatori di performance, contenuti nel </w:t>
      </w:r>
      <w:r>
        <w:rPr>
          <w:shd w:fill="auto" w:val="clear"/>
        </w:rPr>
        <w:t>C</w:t>
      </w:r>
      <w:r>
        <w:rPr>
          <w:shd w:fill="auto" w:val="clear"/>
        </w:rPr>
        <w:t>ap</w:t>
      </w:r>
      <w:r>
        <w:rPr>
          <w:shd w:fill="auto" w:val="clear"/>
        </w:rPr>
        <w:t>itolo</w:t>
      </w:r>
      <w:r>
        <w:rPr>
          <w:shd w:fill="auto" w:val="clear"/>
        </w:rPr>
        <w:t xml:space="preserve"> 7 del PSR, non si modificano nel valore lordo (se non, in minima parte, per effetto dell’incremento di fondi a favore dell’Operazione 6.1.1), ma l’introduzione di fondi top up comporta qualche leggero cambiamento nel valore netto. </w:t>
      </w:r>
    </w:p>
    <w:p>
      <w:pPr>
        <w:pStyle w:val="Normal"/>
        <w:jc w:val="both"/>
        <w:rPr/>
      </w:pPr>
      <w:r>
        <w:rPr>
          <w:rFonts w:eastAsia="Calibri" w:cs="Tahoma"/>
          <w:color w:val="000000"/>
          <w:kern w:val="0"/>
          <w:sz w:val="22"/>
          <w:szCs w:val="22"/>
          <w:shd w:fill="auto" w:val="clear"/>
          <w:lang w:val="it-IT" w:eastAsia="en-US" w:bidi="ar-SA"/>
        </w:rPr>
        <w:t xml:space="preserve">Si precisa che gli indicatori fisici </w:t>
      </w:r>
      <w:r>
        <w:rPr>
          <w:rFonts w:eastAsia="Calibri" w:cs="Tahoma"/>
          <w:b w:val="false"/>
          <w:i w:val="false"/>
          <w:caps w:val="false"/>
          <w:smallCaps w:val="false"/>
          <w:color w:val="000000"/>
          <w:spacing w:val="0"/>
          <w:kern w:val="0"/>
          <w:sz w:val="22"/>
          <w:szCs w:val="22"/>
          <w:shd w:fill="auto" w:val="clear"/>
          <w:lang w:val="it-IT" w:eastAsia="en-US" w:bidi="ar-SA"/>
        </w:rPr>
        <w:t xml:space="preserve">risultano già raggiunti per tutte le priorità (ad eccezione della P6, ove comunque si registra un tasso di raggiungimento superiore all’85%, quindi </w:t>
      </w:r>
      <w:r>
        <w:rPr>
          <w:rFonts w:eastAsia="Calibri" w:cs="Tahoma"/>
          <w:b w:val="false"/>
          <w:i w:val="false"/>
          <w:caps w:val="false"/>
          <w:smallCaps w:val="false"/>
          <w:color w:val="000000"/>
          <w:spacing w:val="0"/>
          <w:kern w:val="0"/>
          <w:sz w:val="22"/>
          <w:szCs w:val="22"/>
          <w:shd w:fill="auto" w:val="clear"/>
          <w:lang w:val="it-IT" w:eastAsia="en-US" w:bidi="ar-SA"/>
        </w:rPr>
        <w:t>sufficiente</w:t>
      </w:r>
      <w:r>
        <w:rPr>
          <w:rFonts w:eastAsia="Calibri" w:cs="Tahoma"/>
          <w:b w:val="false"/>
          <w:i w:val="false"/>
          <w:caps w:val="false"/>
          <w:smallCaps w:val="false"/>
          <w:color w:val="000000"/>
          <w:spacing w:val="0"/>
          <w:kern w:val="0"/>
          <w:sz w:val="22"/>
          <w:szCs w:val="22"/>
          <w:shd w:fill="auto" w:val="clear"/>
          <w:lang w:val="it-IT" w:eastAsia="en-US" w:bidi="ar-SA"/>
        </w:rPr>
        <w:t xml:space="preserve"> ai sensi del Reg. UE 215/2014, </w:t>
      </w:r>
      <w:r>
        <w:rPr>
          <w:rFonts w:eastAsia="Calibri" w:cs="Tahoma"/>
          <w:b w:val="false"/>
          <w:i w:val="false"/>
          <w:iCs/>
          <w:caps w:val="false"/>
          <w:smallCaps w:val="false"/>
          <w:color w:val="000000"/>
          <w:spacing w:val="0"/>
          <w:kern w:val="0"/>
          <w:sz w:val="22"/>
          <w:szCs w:val="22"/>
          <w:shd w:fill="auto" w:val="clear"/>
          <w:lang w:val="it-IT" w:eastAsia="en-US" w:bidi="ar-SA"/>
        </w:rPr>
        <w:t xml:space="preserve">art. 6, </w:t>
      </w:r>
      <w:r>
        <w:rPr>
          <w:rFonts w:eastAsia="Calibri" w:cs="Tahoma"/>
          <w:b w:val="false"/>
          <w:i w:val="false"/>
          <w:iCs/>
          <w:caps w:val="false"/>
          <w:smallCaps w:val="false"/>
          <w:color w:val="000000"/>
          <w:spacing w:val="0"/>
          <w:kern w:val="0"/>
          <w:sz w:val="22"/>
          <w:szCs w:val="22"/>
          <w:shd w:fill="auto" w:val="clear"/>
          <w:lang w:val="it-IT" w:eastAsia="en-US" w:bidi="ar-SA"/>
        </w:rPr>
        <w:t>comma 2</w:t>
      </w:r>
      <w:r>
        <w:rPr>
          <w:rFonts w:eastAsia="Calibri" w:cs="Tahoma"/>
          <w:b w:val="false"/>
          <w:i w:val="false"/>
          <w:iCs/>
          <w:caps w:val="false"/>
          <w:smallCaps w:val="false"/>
          <w:color w:val="000000"/>
          <w:spacing w:val="0"/>
          <w:kern w:val="0"/>
          <w:sz w:val="22"/>
          <w:szCs w:val="22"/>
          <w:shd w:fill="auto" w:val="clear"/>
          <w:lang w:val="it-IT" w:eastAsia="en-US" w:bidi="ar-SA"/>
        </w:rPr>
        <w:t>).</w:t>
      </w:r>
    </w:p>
    <w:p>
      <w:pPr>
        <w:pStyle w:val="Normal"/>
        <w:rPr>
          <w:shd w:fill="BBE33D" w:val="clear"/>
        </w:rPr>
      </w:pPr>
      <w:r>
        <w:rPr/>
      </w:r>
    </w:p>
    <w:p>
      <w:pPr>
        <w:pStyle w:val="Normal"/>
        <w:spacing w:before="120" w:after="0"/>
        <w:jc w:val="both"/>
        <w:rPr>
          <w:i/>
          <w:i/>
          <w:iCs/>
        </w:rPr>
      </w:pPr>
      <w:r>
        <w:rPr/>
      </w:r>
    </w:p>
    <w:p>
      <w:pPr>
        <w:pStyle w:val="Normal"/>
        <w:rPr>
          <w:b/>
          <w:b/>
          <w:sz w:val="28"/>
          <w:szCs w:val="28"/>
        </w:rPr>
      </w:pPr>
      <w:r>
        <w:rPr>
          <w:b/>
          <w:sz w:val="28"/>
          <w:szCs w:val="28"/>
        </w:rPr>
        <w:t>Rapporto tra la modifica e l’Accordo di Partenariato</w:t>
      </w:r>
    </w:p>
    <w:p>
      <w:pPr>
        <w:pStyle w:val="Normal"/>
        <w:widowControl/>
        <w:suppressAutoHyphens w:val="true"/>
        <w:bidi w:val="0"/>
        <w:spacing w:lineRule="auto" w:line="259" w:before="0" w:after="160"/>
        <w:jc w:val="left"/>
        <w:rPr/>
      </w:pPr>
      <w:r>
        <w:rPr/>
        <w:t>La modifica proposta tiene conto di quanto previsto nell’Accordo di partenariato.</w:t>
      </w:r>
    </w:p>
    <w:sectPr>
      <w:footnotePr>
        <w:numFmt w:val="decimal"/>
      </w:footnotePr>
      <w:type w:val="nextPage"/>
      <w:pgSz w:w="11906" w:h="16838"/>
      <w:pgMar w:left="1134" w:right="1134" w:header="0" w:top="1417" w:footer="0" w:bottom="1134"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Arial">
    <w:charset w:val="00"/>
    <w:family w:val="roman"/>
    <w:pitch w:val="variable"/>
  </w:font>
  <w:font w:name="Calibri-Bold">
    <w:charset w:val="00"/>
    <w:family w:val="roman"/>
    <w:pitch w:val="variable"/>
  </w:font>
  <w:font w:name="OpenSymbol">
    <w:altName w:val="Arial Unicode MS"/>
    <w:charset w:val="01"/>
    <w:family w:val="auto"/>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aapidipagina"/>
        <w:widowControl w:val="false"/>
        <w:spacing w:before="0" w:after="94"/>
        <w:jc w:val="both"/>
        <w:rPr/>
      </w:pPr>
      <w:r>
        <w:rPr>
          <w:rStyle w:val="Caratterinotaapidipagina"/>
        </w:rPr>
        <w:footnoteRef/>
      </w:r>
      <w:r>
        <w:rPr>
          <w:sz w:val="18"/>
          <w:szCs w:val="18"/>
        </w:rPr>
        <w:tab/>
        <w:t>Investimenti ambientali, Imboschimento terreni agricoli e non agricoli, Agroambiente, Biologico, Indennità Natura 2000 e Dir. Acque, Indennità compensative</w:t>
      </w:r>
    </w:p>
  </w:footnote>
  <w:footnote w:id="3">
    <w:p>
      <w:pPr>
        <w:pStyle w:val="Notaapidipagina"/>
        <w:widowControl w:val="false"/>
        <w:spacing w:before="0" w:after="0"/>
        <w:jc w:val="both"/>
        <w:rPr>
          <w:sz w:val="18"/>
          <w:szCs w:val="18"/>
        </w:rPr>
      </w:pPr>
      <w:r>
        <w:rPr>
          <w:rStyle w:val="Caratterinotaapidipagina"/>
        </w:rPr>
        <w:footnoteRef/>
      </w:r>
      <w:r>
        <w:rPr>
          <w:sz w:val="18"/>
          <w:szCs w:val="18"/>
        </w:rPr>
        <w:tab/>
        <w:t xml:space="preserve"> </w:t>
      </w:r>
      <w:r>
        <w:rPr>
          <w:sz w:val="18"/>
          <w:szCs w:val="18"/>
        </w:rPr>
        <w:t>Formazione, Cooperazione, Leader, Insediamento giovani</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65"/>
  <w:defaultTabStop w:val="708"/>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it-IT" w:eastAsia="en-US" w:bidi="ar-SA"/>
      </w:rPr>
    </w:rPrDefault>
    <w:pPrDefault>
      <w:pPr>
        <w:suppressAutoHyphens w:val="true"/>
      </w:pPr>
    </w:pPrDefault>
  </w:docDefaults>
  <w:style w:type="paragraph" w:styleId="Normal">
    <w:name w:val="Normal"/>
    <w:qFormat/>
    <w:pPr>
      <w:widowControl/>
      <w:suppressAutoHyphens w:val="true"/>
      <w:overflowPunct w:val="true"/>
      <w:bidi w:val="0"/>
      <w:spacing w:lineRule="auto" w:line="259" w:before="0" w:after="160"/>
      <w:jc w:val="left"/>
    </w:pPr>
    <w:rPr>
      <w:rFonts w:ascii="Calibri" w:hAnsi="Calibri" w:eastAsia="Calibri" w:cs="Tahoma"/>
      <w:color w:val="auto"/>
      <w:kern w:val="0"/>
      <w:sz w:val="22"/>
      <w:szCs w:val="22"/>
      <w:lang w:val="it-IT" w:eastAsia="en-US" w:bidi="ar-SA"/>
    </w:rPr>
  </w:style>
  <w:style w:type="paragraph" w:styleId="Titolo2">
    <w:name w:val="Heading 2"/>
    <w:basedOn w:val="Titoloprincipale"/>
    <w:next w:val="Corpodeltesto"/>
    <w:qFormat/>
    <w:pPr>
      <w:spacing w:before="200" w:after="120"/>
      <w:outlineLvl w:val="1"/>
    </w:pPr>
    <w:rPr>
      <w:b/>
      <w:bCs/>
      <w:sz w:val="32"/>
      <w:szCs w:val="32"/>
    </w:rPr>
  </w:style>
  <w:style w:type="character" w:styleId="DefaultParagraphFont">
    <w:name w:val="Default Paragraph Font"/>
    <w:qFormat/>
    <w:rPr/>
  </w:style>
  <w:style w:type="character" w:styleId="Strong">
    <w:name w:val="Strong"/>
    <w:qFormat/>
    <w:rPr>
      <w:b/>
      <w:bCs/>
    </w:rPr>
  </w:style>
  <w:style w:type="character" w:styleId="Caratterinotaapidipagina">
    <w:name w:val="Caratteri nota a piè di pagina"/>
    <w:qFormat/>
    <w:rPr>
      <w:vertAlign w:val="superscript"/>
    </w:rPr>
  </w:style>
  <w:style w:type="character" w:styleId="Richiamoallanotaapidipagina">
    <w:name w:val="Richiamo alla nota a piè di pagina"/>
    <w:rPr>
      <w:vertAlign w:val="superscript"/>
    </w:rPr>
  </w:style>
  <w:style w:type="character" w:styleId="FootnoteCharacters">
    <w:name w:val="Footnote Characters"/>
    <w:qFormat/>
    <w:rPr>
      <w:vertAlign w:val="superscript"/>
    </w:rPr>
  </w:style>
  <w:style w:type="character" w:styleId="Caratterinotadichiusura">
    <w:name w:val="Caratteri nota di chiusura"/>
    <w:qFormat/>
    <w:rPr>
      <w:vertAlign w:val="superscript"/>
    </w:rPr>
  </w:style>
  <w:style w:type="character" w:styleId="Richiamoallanotadichiusura">
    <w:name w:val="Richiamo alla nota di chiusura"/>
    <w:rPr>
      <w:vertAlign w:val="superscript"/>
    </w:rPr>
  </w:style>
  <w:style w:type="character" w:styleId="EndnoteCharacters">
    <w:name w:val="Endnote Characters"/>
    <w:qFormat/>
    <w:rPr>
      <w:vertAlign w:val="superscript"/>
    </w:rPr>
  </w:style>
  <w:style w:type="character" w:styleId="A0">
    <w:name w:val="A0"/>
    <w:qFormat/>
    <w:rPr>
      <w:sz w:val="22"/>
    </w:rPr>
  </w:style>
  <w:style w:type="character" w:styleId="Punti">
    <w:name w:val="Punti"/>
    <w:qFormat/>
    <w:rPr>
      <w:rFonts w:ascii="OpenSymbol" w:hAnsi="OpenSymbol" w:eastAsia="OpenSymbol" w:cs="OpenSymbol"/>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Titoloprincipale">
    <w:name w:val="Title"/>
    <w:basedOn w:val="Normal"/>
    <w:next w:val="Corpodeltesto"/>
    <w:qFormat/>
    <w:pPr>
      <w:keepNext w:val="true"/>
      <w:spacing w:before="240" w:after="120"/>
    </w:pPr>
    <w:rPr>
      <w:rFonts w:ascii="Liberation Sans" w:hAnsi="Liberation Sans" w:eastAsia="Microsoft YaHei" w:cs="Mangal"/>
      <w:sz w:val="28"/>
      <w:szCs w:val="28"/>
    </w:rPr>
  </w:style>
  <w:style w:type="paragraph" w:styleId="Caption1">
    <w:name w:val="caption1"/>
    <w:basedOn w:val="Normal"/>
    <w:qFormat/>
    <w:pPr>
      <w:suppressLineNumbers/>
      <w:spacing w:before="120" w:after="120"/>
    </w:pPr>
    <w:rPr>
      <w:rFonts w:cs="Mangal"/>
      <w:i/>
      <w:iCs/>
      <w:sz w:val="24"/>
      <w:szCs w:val="24"/>
    </w:rPr>
  </w:style>
  <w:style w:type="paragraph" w:styleId="Contenutotabella">
    <w:name w:val="Contenuto tabella"/>
    <w:basedOn w:val="Normal"/>
    <w:qFormat/>
    <w:pPr>
      <w:widowControl w:val="false"/>
      <w:suppressLineNumbers/>
    </w:pPr>
    <w:rPr/>
  </w:style>
  <w:style w:type="paragraph" w:styleId="Titolotabella">
    <w:name w:val="Titolo tabella"/>
    <w:basedOn w:val="Contenutotabella"/>
    <w:qFormat/>
    <w:pPr>
      <w:jc w:val="center"/>
    </w:pPr>
    <w:rPr>
      <w:b/>
      <w:bCs/>
    </w:rPr>
  </w:style>
  <w:style w:type="paragraph" w:styleId="Contenutocornice">
    <w:name w:val="Contenuto cornice"/>
    <w:basedOn w:val="Normal"/>
    <w:qFormat/>
    <w:pPr/>
    <w:rPr/>
  </w:style>
  <w:style w:type="paragraph" w:styleId="Notaapidipagina">
    <w:name w:val="Footnote Text"/>
    <w:basedOn w:val="Normal"/>
    <w:pPr>
      <w:suppressLineNumbers/>
      <w:ind w:left="339" w:right="0" w:hanging="339"/>
    </w:pPr>
    <w:rPr>
      <w:sz w:val="20"/>
      <w:szCs w:val="20"/>
    </w:rPr>
  </w:style>
  <w:style w:type="paragraph" w:styleId="ListParagraph">
    <w:name w:val="List Paragraph"/>
    <w:basedOn w:val="Normal"/>
    <w:qFormat/>
    <w:pPr>
      <w:ind w:left="720" w:right="0" w:hanging="0"/>
    </w:pPr>
    <w:rPr>
      <w:rFonts w:ascii="Calibri" w:hAnsi="Calibri" w:eastAsia="Calibri"/>
      <w:sz w:val="22"/>
      <w:szCs w:val="22"/>
    </w:rPr>
  </w:style>
  <w:style w:type="paragraph" w:styleId="Paragrafoelenco">
    <w:name w:val="Paragrafo elenco"/>
    <w:basedOn w:val="Normal"/>
    <w:qFormat/>
    <w:pPr>
      <w:spacing w:lineRule="auto" w:line="240" w:before="0" w:after="0"/>
      <w:ind w:left="720" w:right="0" w:hanging="0"/>
      <w:contextualSpacing/>
    </w:pPr>
    <w:rPr>
      <w:rFonts w:ascii="Times New Roman" w:hAnsi="Times New Roman" w:eastAsia="Times New Roman" w:cs="Times New Roman"/>
      <w:sz w:val="24"/>
      <w:szCs w:val="24"/>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png"/><Relationship Id="rId5" Type="http://schemas.openxmlformats.org/officeDocument/2006/relationships/image" Target="media/image4.jpe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footnotes" Target="footnotes.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995</TotalTime>
  <Application>LibreOffice/7.0.4.2$Windows_X86_64 LibreOffice_project/dcf040e67528d9187c66b2379df5ea4407429775</Application>
  <AppVersion>15.0000</AppVersion>
  <Pages>8</Pages>
  <Words>2228</Words>
  <Characters>12648</Characters>
  <CharactersWithSpaces>14876</CharactersWithSpaces>
  <Paragraphs>118</Paragraphs>
  <Company>CSI Piemonte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2024-09-10T08:16:00Z</dcterms:created>
  <dc:creator>IRENE ALICE ELENA VENTURELLO</dc:creator>
  <dc:description/>
  <dc:language>it-IT</dc:language>
  <cp:lastModifiedBy/>
  <dcterms:modified xsi:type="dcterms:W3CDTF">2025-01-22T16:22:21Z</dcterms:modified>
  <cp:revision>150</cp:revision>
  <dc:subject/>
  <dc:title/>
</cp:coreProperties>
</file>

<file path=docProps/custom.xml><?xml version="1.0" encoding="utf-8"?>
<Properties xmlns="http://schemas.openxmlformats.org/officeDocument/2006/custom-properties" xmlns:vt="http://schemas.openxmlformats.org/officeDocument/2006/docPropsVTypes"/>
</file>