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SCHEDA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Allegato 9.1- Limitazione delle caratteristiche di pericolo dei materiali impiegati</w:t>
      </w:r>
    </w:p>
    <w:p>
      <w:pPr>
        <w:pStyle w:val="Normal"/>
        <w:spacing w:lineRule="auto" w:line="240" w:before="0" w:after="0"/>
        <w:ind w:hanging="2"/>
        <w:jc w:val="both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edilizio svolto presso_________________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2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Che nell’ambito dei lavori sono stati impiegati materiali che rispettano le limitazioni delle caratteristiche di pericolo indicate dall’Art. 57, Regolamento CE1907/2006, REACH. Sono infatti stati impiegati i seguenti materiali che rispettano i limiti indicati dai CAM in particolare dal Criterio 2.5 SPECIFICHE TECNICHE PER I PRODOTTI DA COSTRUZIONE del DECRETO 23 giugno 2022:</w:t>
      </w:r>
    </w:p>
    <w:p>
      <w:pPr>
        <w:pStyle w:val="Normal"/>
        <w:tabs>
          <w:tab w:val="clear" w:pos="708"/>
          <w:tab w:val="left" w:pos="888" w:leader="none"/>
        </w:tabs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pitture e vernici</w:t>
      </w:r>
    </w:p>
    <w:p>
      <w:pPr>
        <w:pStyle w:val="Normal"/>
        <w:jc w:val="both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pavimentazioni (sono escluse le piastrelle di ceramica e i laterizi, qualora non abbiano subito una lavorazione post cottura con applicazioni di vernici, resine o altre sostanze di natura organica), incluso le resine liquide;</w:t>
      </w:r>
    </w:p>
    <w:p>
      <w:pPr>
        <w:pStyle w:val="Normal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adesivi e sigillanti</w:t>
      </w:r>
    </w:p>
    <w:p>
      <w:pPr>
        <w:pStyle w:val="Normal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rivestimenti interni (escluse le piastrelle di ceramica e i laterizi)</w:t>
      </w:r>
    </w:p>
    <w:p>
      <w:pPr>
        <w:pStyle w:val="Normal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pannelli di finitura interni (comprensivi di eventuali isolanti a vista)</w:t>
      </w:r>
    </w:p>
    <w:p>
      <w:pPr>
        <w:pStyle w:val="Normal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controsoffitti</w:t>
      </w:r>
    </w:p>
    <w:p>
      <w:pPr>
        <w:pStyle w:val="Normal"/>
        <w:rPr>
          <w:sz w:val="24"/>
          <w:szCs w:val="24"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schermi al vapore sintetici per la protezione interna del pacchetto di isolamento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Le relative schede tecniche di prodotto riportanti le certificazioni (*) che attestano il rispetto dei limiti verranno allegate nella fase finale (</w:t>
      </w:r>
      <w:r>
        <w:rPr>
          <w:i/>
          <w:iCs/>
          <w:sz w:val="24"/>
          <w:szCs w:val="24"/>
        </w:rPr>
        <w:t>ex post-punto 15</w:t>
      </w:r>
      <w:r>
        <w:rPr>
          <w:sz w:val="24"/>
          <w:szCs w:val="24"/>
        </w:rPr>
        <w:t>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 e luogo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tecnico incaricato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firmato digitalmente</w:t>
      </w:r>
      <w:r>
        <w:rPr>
          <w:sz w:val="24"/>
          <w:szCs w:val="24"/>
        </w:rPr>
        <w:t>)</w:t>
      </w:r>
    </w:p>
    <w:p>
      <w:pPr>
        <w:pStyle w:val="Normal"/>
        <w:rPr/>
      </w:pPr>
      <w:r>
        <w:rPr/>
        <w:t>(*) principali certificazioni di prodotto</w:t>
      </w:r>
    </w:p>
    <w:p>
      <w:pPr>
        <w:pStyle w:val="Normal"/>
        <w:spacing w:before="0" w:after="160"/>
        <w:jc w:val="both"/>
        <w:rPr>
          <w:sz w:val="24"/>
          <w:szCs w:val="24"/>
          <w:u w:val="single"/>
        </w:rPr>
      </w:pPr>
      <w:r>
        <w:rPr/>
        <w:t>AgBB (Germania) - Blue Angel nelle specifiche: RAL UZ 113/120/128/132 (Germania) - Eco INSTITUT-Label (Germania) - EMICODE EC1/EC1+ (GEV) (Germania) - Indoor Air Comfort di Eurofins (Belgio) - Indoor Air Comfort Gold di Eurofins (Belgio) - M1 Emission Classification of Building Materials (Finlandia) - CATAS quality award (CQA) CAM edilizia (Italia) - CATAS quality award Plus (CQA) CAM edilizia Plus (Italia) - Cosmob Qualitas Praemium - INDOOR HI-QUALITY Standard (Italia) - Cosmob Qualitas Praemium - INDOOR HI-QUALITY Plus (Italia)- Marchio Ecolabel UE- Rapporti di prova emessi da organismi di valutazione e laboratori accreditati per dimostrare la conformità.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  <w:r>
      <w:rPr/>
      <w:t>(CARTA INTESTATA)</w: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LibreOffice/7.0.4.2$Windows_X86_64 LibreOffice_project/dcf040e67528d9187c66b2379df5ea4407429775</Application>
  <AppVersion>15.0000</AppVersion>
  <Pages>2</Pages>
  <Words>508</Words>
  <Characters>3106</Characters>
  <CharactersWithSpaces>3586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2024-06-02T07:05:00Z</dcterms:created>
  <dc:creator>Silvia Carozzi</dc:creator>
  <dc:description/>
  <dc:language>it-IT</dc:language>
  <cp:lastModifiedBy/>
  <dcterms:modified xsi:type="dcterms:W3CDTF">2024-07-19T11:44:05Z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