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Grigliatabella"/>
        <w:tblW w:w="1456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806"/>
        <w:gridCol w:w="1859"/>
        <w:gridCol w:w="2380"/>
        <w:gridCol w:w="2552"/>
        <w:gridCol w:w="3970"/>
      </w:tblGrid>
      <w:tr>
        <w:trPr>
          <w:tblHeader w:val="true"/>
          <w:trHeight w:val="1250" w:hRule="atLeast"/>
        </w:trPr>
        <w:tc>
          <w:tcPr>
            <w:tcW w:w="3806" w:type="dxa"/>
            <w:tcBorders/>
          </w:tcPr>
          <w:p>
            <w:pPr>
              <w:pStyle w:val="Normal"/>
              <w:widowControl/>
              <w:spacing w:lineRule="auto" w:line="240" w:before="0" w:after="0"/>
              <w:jc w:val="left"/>
              <w:rPr>
                <w:b/>
                <w:b/>
                <w:sz w:val="20"/>
                <w:szCs w:val="20"/>
              </w:rPr>
            </w:pPr>
            <w:r>
              <w:rPr>
                <w:rFonts w:eastAsia="Calibri" w:cs=""/>
                <w:b/>
                <w:kern w:val="0"/>
                <w:sz w:val="20"/>
                <w:szCs w:val="20"/>
                <w:lang w:val="it-IT" w:eastAsia="en-US" w:bidi="ar-SA"/>
              </w:rPr>
              <w:t>Descrizione</w:t>
            </w:r>
          </w:p>
        </w:tc>
        <w:tc>
          <w:tcPr>
            <w:tcW w:w="1859" w:type="dxa"/>
            <w:tcBorders/>
          </w:tcPr>
          <w:p>
            <w:pPr>
              <w:pStyle w:val="Normal"/>
              <w:widowControl/>
              <w:spacing w:lineRule="auto" w:line="240" w:before="0" w:after="0"/>
              <w:jc w:val="left"/>
              <w:rPr>
                <w:b/>
                <w:b/>
                <w:sz w:val="20"/>
                <w:szCs w:val="20"/>
              </w:rPr>
            </w:pPr>
            <w:r>
              <w:rPr>
                <w:rFonts w:eastAsia="Calibri" w:cs=""/>
                <w:b/>
                <w:kern w:val="0"/>
                <w:sz w:val="20"/>
                <w:szCs w:val="20"/>
                <w:lang w:val="it-IT" w:eastAsia="en-US" w:bidi="ar-SA"/>
              </w:rPr>
              <w:t>Riferimenti normativi</w:t>
            </w:r>
          </w:p>
        </w:tc>
        <w:tc>
          <w:tcPr>
            <w:tcW w:w="2380" w:type="dxa"/>
            <w:tcBorders/>
          </w:tcPr>
          <w:p>
            <w:pPr>
              <w:pStyle w:val="Normal"/>
              <w:widowControl/>
              <w:spacing w:lineRule="auto" w:line="240" w:before="0" w:after="0"/>
              <w:jc w:val="left"/>
              <w:rPr>
                <w:b/>
                <w:b/>
              </w:rPr>
            </w:pPr>
            <w:r>
              <w:rPr>
                <w:rFonts w:eastAsia="Calibri" w:cs=""/>
                <w:b/>
                <w:kern w:val="0"/>
                <w:sz w:val="20"/>
                <w:szCs w:val="20"/>
                <w:lang w:val="it-IT" w:eastAsia="en-US" w:bidi="ar-SA"/>
              </w:rPr>
              <w:t>Esito verifica (regolare; Non regolare; Non Pertinente)</w:t>
            </w:r>
          </w:p>
        </w:tc>
        <w:tc>
          <w:tcPr>
            <w:tcW w:w="2552" w:type="dxa"/>
            <w:tcBorders/>
          </w:tcPr>
          <w:p>
            <w:pPr>
              <w:pStyle w:val="Normal"/>
              <w:widowControl/>
              <w:spacing w:lineRule="auto" w:line="240" w:before="0" w:after="0"/>
              <w:jc w:val="left"/>
              <w:rPr>
                <w:b/>
                <w:b/>
                <w:sz w:val="20"/>
                <w:szCs w:val="20"/>
              </w:rPr>
            </w:pPr>
            <w:r>
              <w:rPr>
                <w:rFonts w:eastAsia="Calibri" w:cs=""/>
                <w:b/>
                <w:kern w:val="0"/>
                <w:sz w:val="20"/>
                <w:szCs w:val="20"/>
                <w:lang w:val="it-IT" w:eastAsia="en-US" w:bidi="ar-SA"/>
              </w:rPr>
              <w:t>Documenti di riferimento</w:t>
            </w:r>
          </w:p>
        </w:tc>
        <w:tc>
          <w:tcPr>
            <w:tcW w:w="3970" w:type="dxa"/>
            <w:tcBorders/>
          </w:tcPr>
          <w:p>
            <w:pPr>
              <w:pStyle w:val="Normal"/>
              <w:widowControl/>
              <w:spacing w:lineRule="auto" w:line="240" w:before="0" w:after="0"/>
              <w:jc w:val="left"/>
              <w:rPr>
                <w:b/>
                <w:b/>
                <w:sz w:val="20"/>
                <w:szCs w:val="20"/>
              </w:rPr>
            </w:pPr>
            <w:r>
              <w:rPr>
                <w:rFonts w:eastAsia="Calibri" w:cs=""/>
                <w:b/>
                <w:kern w:val="0"/>
                <w:sz w:val="20"/>
                <w:szCs w:val="20"/>
                <w:lang w:val="it-IT" w:eastAsia="en-US" w:bidi="ar-SA"/>
              </w:rPr>
              <w:t>Note</w:t>
            </w:r>
          </w:p>
        </w:tc>
      </w:tr>
      <w:tr>
        <w:trPr/>
        <w:tc>
          <w:tcPr>
            <w:tcW w:w="3806" w:type="dxa"/>
            <w:tcBorders/>
          </w:tcPr>
          <w:p>
            <w:pPr>
              <w:pStyle w:val="Normal"/>
              <w:widowControl/>
              <w:spacing w:lineRule="auto" w:line="240" w:before="0" w:after="0"/>
              <w:jc w:val="left"/>
              <w:rPr>
                <w:b/>
                <w:b/>
              </w:rPr>
            </w:pPr>
            <w:r>
              <w:rPr>
                <w:rFonts w:eastAsia="Calibri" w:cs=""/>
                <w:b/>
                <w:kern w:val="0"/>
                <w:sz w:val="22"/>
                <w:szCs w:val="22"/>
                <w:lang w:val="it-IT" w:eastAsia="en-US" w:bidi="ar-SA"/>
              </w:rPr>
              <w:t>1. Valore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1.1. Il valore è pari o superiore alla soglia dei 5.000 euro e inferiore alle soglie dell’articolo 14? (obbligo di ricorrere al mercato elettronico)</w:t>
            </w:r>
          </w:p>
        </w:tc>
        <w:tc>
          <w:tcPr>
            <w:tcW w:w="1859"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eastAsia="en-US" w:bidi="ar-SA"/>
              </w:rPr>
            </w:pPr>
            <w:r>
              <w:rPr>
                <w:rFonts w:eastAsia="Calibri" w:cs=""/>
                <w:kern w:val="0"/>
                <w:sz w:val="22"/>
                <w:szCs w:val="22"/>
                <w:lang w:val="en-US" w:eastAsia="en-US" w:bidi="ar-SA"/>
              </w:rPr>
              <w:t>art. 1, comma 450, l.n. 296/2006</w:t>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p>
            <w:pPr>
              <w:pStyle w:val="Normal"/>
              <w:widowControl/>
              <w:spacing w:lineRule="auto" w:line="240" w:before="0" w:after="0"/>
              <w:jc w:val="left"/>
              <w:rPr>
                <w:b/>
                <w:b/>
              </w:rPr>
            </w:pPr>
            <w:r>
              <w:rPr>
                <w:rFonts w:eastAsia="Calibri" w:cs=""/>
                <w:b/>
                <w:kern w:val="0"/>
                <w:sz w:val="22"/>
                <w:szCs w:val="22"/>
                <w:lang w:val="it-IT" w:eastAsia="en-US" w:bidi="ar-SA"/>
              </w:rPr>
            </w:r>
          </w:p>
          <w:p>
            <w:pPr>
              <w:pStyle w:val="Normal"/>
              <w:widowControl/>
              <w:spacing w:lineRule="auto" w:line="240" w:before="0" w:after="0"/>
              <w:jc w:val="left"/>
              <w:rPr>
                <w:b/>
                <w:b/>
              </w:rPr>
            </w:pPr>
            <w:r>
              <w:rPr>
                <w:rFonts w:eastAsia="Calibri" w:cs=""/>
                <w:b/>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80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1.2. Il valore è inferiore ai 5.000 euro? (facoltà di ricorrere al mercato elettronico)</w:t>
            </w:r>
          </w:p>
        </w:tc>
        <w:tc>
          <w:tcPr>
            <w:tcW w:w="1859" w:type="dxa"/>
            <w:tcBorders/>
          </w:tcPr>
          <w:p>
            <w:pPr>
              <w:pStyle w:val="Normal"/>
              <w:widowControl/>
              <w:spacing w:lineRule="auto" w:line="240" w:before="0" w:after="0"/>
              <w:jc w:val="left"/>
              <w:rPr>
                <w:rFonts w:ascii="Calibri" w:hAnsi="Calibri" w:eastAsia="Calibri" w:cs=""/>
                <w:kern w:val="0"/>
                <w:sz w:val="22"/>
                <w:szCs w:val="22"/>
                <w:lang w:eastAsia="en-US" w:bidi="ar-SA"/>
              </w:rPr>
            </w:pPr>
            <w:r>
              <w:rPr>
                <w:rFonts w:eastAsia="Calibri" w:cs=""/>
                <w:kern w:val="0"/>
                <w:sz w:val="22"/>
                <w:szCs w:val="22"/>
                <w:lang w:val="en-US" w:eastAsia="en-US" w:bidi="ar-SA"/>
              </w:rPr>
              <w:t>art. 1, comma 450, l.n. 296/2006</w:t>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806" w:type="dxa"/>
            <w:tcBorders/>
          </w:tcPr>
          <w:p>
            <w:pPr>
              <w:pStyle w:val="Normal"/>
              <w:widowControl/>
              <w:spacing w:lineRule="auto" w:line="240" w:before="0" w:after="0"/>
              <w:jc w:val="left"/>
              <w:rPr>
                <w:b/>
                <w:b/>
              </w:rPr>
            </w:pPr>
            <w:r>
              <w:rPr>
                <w:rFonts w:eastAsia="Calibri" w:cs=""/>
                <w:b/>
                <w:kern w:val="0"/>
                <w:sz w:val="22"/>
                <w:szCs w:val="22"/>
                <w:lang w:val="it-IT" w:eastAsia="en-US" w:bidi="ar-SA"/>
              </w:rPr>
              <w:t>2. Regole tecniche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2.1. Il gestore, il titolare e la piattaforma sono conformi alle regole tecniche prescritte?</w:t>
            </w:r>
          </w:p>
        </w:tc>
        <w:tc>
          <w:tcPr>
            <w:tcW w:w="1859"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26, commi 1 e 2</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Provvedimento AGID 137/2023 (Requisiti tecnici e modalità di certificazione delle Piattaforme di approvvigionamento digitale)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806" w:type="dxa"/>
            <w:tcBorders/>
          </w:tcPr>
          <w:p>
            <w:pPr>
              <w:pStyle w:val="Normal"/>
              <w:widowControl/>
              <w:spacing w:lineRule="auto" w:line="240" w:before="0" w:after="0"/>
              <w:jc w:val="left"/>
              <w:rPr>
                <w:b/>
                <w:b/>
              </w:rPr>
            </w:pPr>
            <w:r>
              <w:rPr>
                <w:rFonts w:eastAsia="Calibri" w:cs=""/>
                <w:b/>
                <w:kern w:val="0"/>
                <w:sz w:val="22"/>
                <w:szCs w:val="22"/>
                <w:lang w:val="it-IT" w:eastAsia="en-US" w:bidi="ar-SA"/>
              </w:rPr>
              <w:t>3. Comunicazioni e documenti</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3.1. Tutte le comunicazioni effettuate dal soggetto aggiudicatore e dal fornitore sono state effettuate utilizzando il Sistema, l’Area Comunicazioni o le altre sezioni del Sistema tramite le quali vengono fornite informazioni agli utenti?</w:t>
            </w:r>
          </w:p>
        </w:tc>
        <w:tc>
          <w:tcPr>
            <w:tcW w:w="1859" w:type="dxa"/>
            <w:tcBorders/>
          </w:tcPr>
          <w:p>
            <w:pPr>
              <w:pStyle w:val="Normal"/>
              <w:widowControl/>
              <w:spacing w:lineRule="auto" w:line="240" w:before="0" w:after="0"/>
              <w:jc w:val="left"/>
              <w:rPr>
                <w:lang w:val="en-US"/>
              </w:rPr>
            </w:pPr>
            <w:r>
              <w:rPr>
                <w:rFonts w:eastAsia="Calibri" w:cs=""/>
                <w:kern w:val="0"/>
                <w:sz w:val="22"/>
                <w:szCs w:val="22"/>
                <w:lang w:val="en-US" w:eastAsia="en-US" w:bidi="ar-SA"/>
              </w:rPr>
              <w:t>Art. 16 Regolamento E-P</w:t>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806" w:type="dxa"/>
            <w:tcBorders/>
          </w:tcPr>
          <w:p>
            <w:pPr>
              <w:pStyle w:val="Normal"/>
              <w:widowControl/>
              <w:spacing w:lineRule="auto" w:line="240" w:before="0" w:after="0"/>
              <w:jc w:val="left"/>
              <w:rPr>
                <w:b/>
                <w:b/>
              </w:rPr>
            </w:pPr>
            <w:r>
              <w:rPr>
                <w:rFonts w:eastAsia="Calibri" w:cs=""/>
                <w:kern w:val="0"/>
                <w:sz w:val="22"/>
                <w:szCs w:val="22"/>
                <w:lang w:val="it-IT" w:eastAsia="en-US" w:bidi="ar-SA"/>
              </w:rPr>
              <w:t>3.2. Tutti gli atti e i documenti relativi alla procedura sono stati archiviati e conservati?</w:t>
            </w:r>
          </w:p>
        </w:tc>
        <w:tc>
          <w:tcPr>
            <w:tcW w:w="1859" w:type="dxa"/>
            <w:tcBorders/>
          </w:tcPr>
          <w:p>
            <w:pPr>
              <w:pStyle w:val="Normal"/>
              <w:widowControl/>
              <w:spacing w:lineRule="auto" w:line="240" w:before="0" w:after="0"/>
              <w:jc w:val="left"/>
              <w:rPr>
                <w:lang w:val="en-US"/>
              </w:rPr>
            </w:pPr>
            <w:r>
              <w:rPr>
                <w:rFonts w:eastAsia="Calibri" w:cs=""/>
                <w:kern w:val="0"/>
                <w:sz w:val="22"/>
                <w:szCs w:val="22"/>
                <w:lang w:val="en-US" w:eastAsia="en-US" w:bidi="ar-SA"/>
              </w:rPr>
              <w:t>Art. 19 Regolamento E-P</w:t>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806" w:type="dxa"/>
            <w:tcBorders/>
          </w:tcPr>
          <w:p>
            <w:pPr>
              <w:pStyle w:val="Normal"/>
              <w:widowControl/>
              <w:spacing w:lineRule="auto" w:line="240" w:before="0" w:after="0"/>
              <w:jc w:val="left"/>
              <w:rPr>
                <w:b/>
                <w:b/>
              </w:rPr>
            </w:pPr>
            <w:r>
              <w:rPr>
                <w:rFonts w:eastAsia="Calibri" w:cs=""/>
                <w:b/>
                <w:kern w:val="0"/>
                <w:sz w:val="22"/>
                <w:szCs w:val="22"/>
                <w:lang w:val="it-IT" w:eastAsia="en-US" w:bidi="ar-SA"/>
              </w:rPr>
              <w:t>4. Abilitazione del fornitore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L’acquisto non è stato effettuato in pendenza di una sospensione, oppure a seguito di annullamento o revoca dell’abilitazione, o dopo l’invio della richiesta di disabilitazione o cancellazione a carico del fornitore?</w:t>
            </w:r>
          </w:p>
        </w:tc>
        <w:tc>
          <w:tcPr>
            <w:tcW w:w="1859" w:type="dxa"/>
            <w:tcBorders/>
          </w:tcPr>
          <w:p>
            <w:pPr>
              <w:pStyle w:val="Normal"/>
              <w:widowControl/>
              <w:spacing w:lineRule="auto" w:line="240" w:before="0" w:after="0"/>
              <w:jc w:val="left"/>
              <w:rPr>
                <w:lang w:val="en-US"/>
              </w:rPr>
            </w:pPr>
            <w:r>
              <w:rPr>
                <w:rFonts w:eastAsia="Calibri" w:cs=""/>
                <w:kern w:val="0"/>
                <w:sz w:val="22"/>
                <w:szCs w:val="22"/>
                <w:lang w:val="en-US" w:eastAsia="en-US" w:bidi="ar-SA"/>
              </w:rPr>
              <w:t>Artt. 29-31 Regolamento E-P</w:t>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806" w:type="dxa"/>
            <w:tcBorders/>
          </w:tcPr>
          <w:p>
            <w:pPr>
              <w:pStyle w:val="Normal"/>
              <w:widowControl/>
              <w:spacing w:lineRule="auto" w:line="240" w:before="0" w:after="0"/>
              <w:jc w:val="left"/>
              <w:rPr>
                <w:b/>
                <w:b/>
              </w:rPr>
            </w:pPr>
            <w:r>
              <w:rPr>
                <w:rFonts w:eastAsia="Calibri" w:cs=""/>
                <w:b/>
                <w:kern w:val="0"/>
                <w:sz w:val="22"/>
                <w:szCs w:val="22"/>
                <w:lang w:val="it-IT" w:eastAsia="en-US" w:bidi="ar-SA"/>
              </w:rPr>
              <w:t>5. Procedura di affidamento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5.1. Quale procedura di affidamento è stata seguita?</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 Procedura di acquisto a catalogo</w:t>
            </w:r>
          </w:p>
          <w:p>
            <w:pPr>
              <w:pStyle w:val="Normal"/>
              <w:widowControl/>
              <w:spacing w:lineRule="auto" w:line="240" w:before="60" w:after="60"/>
              <w:jc w:val="left"/>
              <w:rPr>
                <w:rFonts w:ascii="Arial" w:hAnsi="Arial" w:eastAsia="Cambria" w:cs="Times New Roman"/>
                <w:sz w:val="18"/>
                <w:szCs w:val="24"/>
              </w:rPr>
            </w:pPr>
            <w:r>
              <w:rPr>
                <w:rFonts w:eastAsia="Cambria" w:cs="Times New Roman" w:ascii="Arial" w:hAnsi="Arial"/>
                <w:kern w:val="0"/>
                <w:sz w:val="18"/>
                <w:szCs w:val="24"/>
                <w:lang w:val="it-IT" w:eastAsia="en-US" w:bidi="ar-SA"/>
              </w:rPr>
              <w:t xml:space="preserve">□ </w:t>
            </w:r>
            <w:r>
              <w:rPr>
                <w:rFonts w:eastAsia="Cambria" w:cs="Times New Roman" w:ascii="Arial" w:hAnsi="Arial"/>
                <w:kern w:val="0"/>
                <w:sz w:val="18"/>
                <w:szCs w:val="24"/>
                <w:lang w:val="it-IT" w:eastAsia="en-US" w:bidi="ar-SA"/>
              </w:rPr>
              <w:t>Sì</w:t>
            </w:r>
          </w:p>
          <w:p>
            <w:pPr>
              <w:pStyle w:val="Normal"/>
              <w:widowControl/>
              <w:spacing w:lineRule="auto" w:line="240" w:before="60" w:after="60"/>
              <w:jc w:val="left"/>
              <w:rPr>
                <w:rFonts w:ascii="Arial" w:hAnsi="Arial" w:eastAsia="Cambria" w:cs="Times New Roman"/>
                <w:sz w:val="18"/>
                <w:szCs w:val="24"/>
              </w:rPr>
            </w:pPr>
            <w:r>
              <w:rPr>
                <w:rFonts w:eastAsia="Cambria" w:cs="Times New Roman" w:ascii="Arial" w:hAnsi="Arial"/>
                <w:kern w:val="0"/>
                <w:sz w:val="18"/>
                <w:szCs w:val="24"/>
                <w:lang w:val="it-IT" w:eastAsia="en-US" w:bidi="ar-SA"/>
              </w:rPr>
              <w:t xml:space="preserve">□ </w:t>
            </w:r>
            <w:r>
              <w:rPr>
                <w:rFonts w:eastAsia="Cambria" w:cs="Times New Roman" w:ascii="Arial" w:hAnsi="Arial"/>
                <w:kern w:val="0"/>
                <w:sz w:val="18"/>
                <w:szCs w:val="24"/>
                <w:lang w:val="it-IT" w:eastAsia="en-US" w:bidi="ar-SA"/>
              </w:rPr>
              <w:t>No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2) Richiesta di offerta (RDO) a inviti o aperta</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 </w:t>
            </w:r>
            <w:r>
              <w:rPr>
                <w:rFonts w:eastAsia="Calibri" w:cs=""/>
                <w:kern w:val="0"/>
                <w:sz w:val="22"/>
                <w:szCs w:val="22"/>
                <w:lang w:val="it-IT" w:eastAsia="en-US" w:bidi="ar-SA"/>
              </w:rPr>
              <w:t>Sì</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 </w:t>
            </w:r>
            <w:r>
              <w:rPr>
                <w:rFonts w:eastAsia="Calibri" w:cs=""/>
                <w:kern w:val="0"/>
                <w:sz w:val="22"/>
                <w:szCs w:val="22"/>
                <w:lang w:val="it-IT" w:eastAsia="en-US" w:bidi="ar-SA"/>
              </w:rPr>
              <w:t>No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3) Trattativa diretta (TD)</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 </w:t>
            </w:r>
            <w:r>
              <w:rPr>
                <w:rFonts w:eastAsia="Calibri" w:cs=""/>
                <w:kern w:val="0"/>
                <w:sz w:val="22"/>
                <w:szCs w:val="22"/>
                <w:lang w:val="it-IT" w:eastAsia="en-US" w:bidi="ar-SA"/>
              </w:rPr>
              <w:t>Sì</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 </w:t>
            </w:r>
            <w:r>
              <w:rPr>
                <w:rFonts w:eastAsia="Calibri" w:cs=""/>
                <w:kern w:val="0"/>
                <w:sz w:val="22"/>
                <w:szCs w:val="22"/>
                <w:lang w:val="it-IT" w:eastAsia="en-US" w:bidi="ar-SA"/>
              </w:rPr>
              <w:t>No</w:t>
            </w:r>
          </w:p>
        </w:tc>
        <w:tc>
          <w:tcPr>
            <w:tcW w:w="1859" w:type="dxa"/>
            <w:tcBorders/>
          </w:tcPr>
          <w:p>
            <w:pPr>
              <w:pStyle w:val="Normal"/>
              <w:widowControl/>
              <w:spacing w:lineRule="auto" w:line="240" w:before="0" w:after="0"/>
              <w:jc w:val="left"/>
              <w:rPr>
                <w:lang w:val="en-US"/>
              </w:rPr>
            </w:pPr>
            <w:r>
              <w:rPr>
                <w:rFonts w:eastAsia="Calibri" w:cs=""/>
                <w:kern w:val="0"/>
                <w:sz w:val="22"/>
                <w:szCs w:val="22"/>
                <w:lang w:val="en-US" w:eastAsia="en-US" w:bidi="ar-SA"/>
              </w:rPr>
              <w:t>Art. 38 Regolamento E-P</w:t>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80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5.2. Nel caso di acquisto a catalogo o di trattativa diretta sono stati prima richiesti preventivi? (facoltativo)</w:t>
            </w:r>
          </w:p>
        </w:tc>
        <w:tc>
          <w:tcPr>
            <w:tcW w:w="1859" w:type="dxa"/>
            <w:tcBorders/>
          </w:tcPr>
          <w:p>
            <w:pPr>
              <w:pStyle w:val="Normal"/>
              <w:widowControl/>
              <w:spacing w:lineRule="auto" w:line="240" w:before="0" w:after="0"/>
              <w:jc w:val="left"/>
              <w:rPr>
                <w:lang w:val="en-US"/>
              </w:rPr>
            </w:pPr>
            <w:r>
              <w:rPr>
                <w:rFonts w:eastAsia="Calibri" w:cs=""/>
                <w:kern w:val="0"/>
                <w:sz w:val="22"/>
                <w:szCs w:val="22"/>
                <w:lang w:val="en-US" w:eastAsia="en-US" w:bidi="ar-SA"/>
              </w:rPr>
              <w:t>Art. 40 Regolamento E-P</w:t>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80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5.3. Nel caso di affidamento di lavori d’importo pari o superiore a 1 milione di euro e fino alle soglie di cui all’articolo 14 è stata svolta una RDO aperta? (obbligatorio)</w:t>
            </w:r>
          </w:p>
        </w:tc>
        <w:tc>
          <w:tcPr>
            <w:tcW w:w="1859" w:type="dxa"/>
            <w:tcBorders/>
          </w:tcPr>
          <w:p>
            <w:pPr>
              <w:pStyle w:val="Normal"/>
              <w:widowControl/>
              <w:spacing w:lineRule="auto" w:line="240" w:before="0" w:after="0"/>
              <w:jc w:val="left"/>
              <w:rPr>
                <w:lang w:val="en-US"/>
              </w:rPr>
            </w:pPr>
            <w:r>
              <w:rPr>
                <w:rFonts w:eastAsia="Calibri" w:cs=""/>
                <w:kern w:val="0"/>
                <w:sz w:val="22"/>
                <w:szCs w:val="22"/>
                <w:lang w:val="en-US" w:eastAsia="en-US" w:bidi="ar-SA"/>
              </w:rPr>
              <w:t>Art. 38 Regolamento E-P</w:t>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80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5.4. Sono stati assolti gli adempimenti pubblicitari sugli esiti della procedura?</w:t>
            </w:r>
          </w:p>
        </w:tc>
        <w:tc>
          <w:tcPr>
            <w:tcW w:w="1859"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54 Regolamento E-P</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50</w:t>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806" w:type="dxa"/>
            <w:tcBorders/>
          </w:tcPr>
          <w:p>
            <w:pPr>
              <w:pStyle w:val="Normal"/>
              <w:widowControl/>
              <w:spacing w:lineRule="auto" w:line="240" w:before="0" w:after="0"/>
              <w:jc w:val="left"/>
              <w:rPr>
                <w:b/>
                <w:b/>
              </w:rPr>
            </w:pPr>
            <w:r>
              <w:rPr>
                <w:rFonts w:eastAsia="Calibri" w:cs=""/>
                <w:b/>
                <w:kern w:val="0"/>
                <w:sz w:val="22"/>
                <w:szCs w:val="22"/>
                <w:lang w:val="it-IT" w:eastAsia="en-US" w:bidi="ar-SA"/>
              </w:rPr>
              <w:t>6. Acquisto a catalogo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6.1. Il documento di acquisto è completo, regolare e firmato digitalmente?</w:t>
            </w:r>
          </w:p>
        </w:tc>
        <w:tc>
          <w:tcPr>
            <w:tcW w:w="1859" w:type="dxa"/>
            <w:tcBorders/>
          </w:tcPr>
          <w:p>
            <w:pPr>
              <w:pStyle w:val="Normal"/>
              <w:widowControl/>
              <w:spacing w:lineRule="auto" w:line="240" w:before="0" w:after="0"/>
              <w:jc w:val="left"/>
              <w:rPr>
                <w:lang w:val="en-US"/>
              </w:rPr>
            </w:pPr>
            <w:r>
              <w:rPr>
                <w:rFonts w:eastAsia="Calibri" w:cs=""/>
                <w:kern w:val="0"/>
                <w:sz w:val="22"/>
                <w:szCs w:val="22"/>
                <w:lang w:val="en-US" w:eastAsia="en-US" w:bidi="ar-SA"/>
              </w:rPr>
              <w:t>Art. 39 Regolamento E-P</w:t>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80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6.2. Il documento di acquisto è stato caricato a sistema?</w:t>
            </w:r>
          </w:p>
        </w:tc>
        <w:tc>
          <w:tcPr>
            <w:tcW w:w="1859" w:type="dxa"/>
            <w:tcBorders/>
          </w:tcPr>
          <w:p>
            <w:pPr>
              <w:pStyle w:val="Normal"/>
              <w:widowControl/>
              <w:spacing w:lineRule="auto" w:line="240" w:before="0" w:after="0"/>
              <w:jc w:val="left"/>
              <w:rPr>
                <w:lang w:val="en-US"/>
              </w:rPr>
            </w:pPr>
            <w:r>
              <w:rPr>
                <w:rFonts w:eastAsia="Calibri" w:cs=""/>
                <w:kern w:val="0"/>
                <w:sz w:val="22"/>
                <w:szCs w:val="22"/>
                <w:lang w:val="en-US" w:eastAsia="en-US" w:bidi="ar-SA"/>
              </w:rPr>
              <w:t>Art. 39 Regolamento E-P</w:t>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80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6.3. Il contratto è presente nel sistema o è stato comunque fornito?</w:t>
            </w:r>
          </w:p>
        </w:tc>
        <w:tc>
          <w:tcPr>
            <w:tcW w:w="1859" w:type="dxa"/>
            <w:tcBorders/>
          </w:tcPr>
          <w:p>
            <w:pPr>
              <w:pStyle w:val="Normal"/>
              <w:widowControl/>
              <w:spacing w:lineRule="auto" w:line="240" w:before="0" w:after="0"/>
              <w:jc w:val="left"/>
              <w:rPr>
                <w:lang w:val="en-US"/>
              </w:rPr>
            </w:pPr>
            <w:r>
              <w:rPr>
                <w:rFonts w:eastAsia="Calibri" w:cs=""/>
                <w:kern w:val="0"/>
                <w:sz w:val="22"/>
                <w:szCs w:val="22"/>
                <w:lang w:val="en-US" w:eastAsia="en-US" w:bidi="ar-SA"/>
              </w:rPr>
              <w:t>Art. 54 Regolamento E-P</w:t>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80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6.4. L’offerta e l’ordine sono conformi alle condizioni contenute nel Catalogo (lotto minimo di Prodotti/Servizi ordinabili, importo minimo di consegna, area di consegna, eventuale disponibilità minima garantita, insussistenza di situazioni di inadempimento nei confronti del fornitore)?</w:t>
            </w:r>
          </w:p>
        </w:tc>
        <w:tc>
          <w:tcPr>
            <w:tcW w:w="1859" w:type="dxa"/>
            <w:tcBorders/>
          </w:tcPr>
          <w:p>
            <w:pPr>
              <w:pStyle w:val="Normal"/>
              <w:widowControl/>
              <w:spacing w:lineRule="auto" w:line="240" w:before="0" w:after="0"/>
              <w:jc w:val="left"/>
              <w:rPr>
                <w:lang w:val="en-US"/>
              </w:rPr>
            </w:pPr>
            <w:r>
              <w:rPr>
                <w:rFonts w:eastAsia="Calibri" w:cs=""/>
                <w:kern w:val="0"/>
                <w:sz w:val="22"/>
                <w:szCs w:val="22"/>
                <w:lang w:val="en-US" w:eastAsia="en-US" w:bidi="ar-SA"/>
              </w:rPr>
              <w:t>Art. 33 Regolamento E-P</w:t>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80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6.5. Sono stati verificati i requisiti dell’aggiudicatario?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N.B. L’Operatore Economico può rispondere presentando un’offerta in qualità di mandatario di un raggruppamento temporaneo di imprese, di una aggregazione tra imprese aderenti ad un contratto di rete priva di personalità giuridica. In tal caso, tutti gli operatori per conto dei quali l’Operatore Economico ammesso agisce devono essere a loro volta già ammessi al MEPA al momento della presentazione dell’offerta da parte dell’Operatore Economico.</w:t>
            </w:r>
          </w:p>
        </w:tc>
        <w:tc>
          <w:tcPr>
            <w:tcW w:w="1859" w:type="dxa"/>
            <w:tcBorders/>
          </w:tcPr>
          <w:p>
            <w:pPr>
              <w:pStyle w:val="Normal"/>
              <w:widowControl/>
              <w:spacing w:lineRule="auto" w:line="240" w:before="0" w:after="0"/>
              <w:jc w:val="left"/>
              <w:rPr>
                <w:lang w:val="en-US"/>
              </w:rPr>
            </w:pPr>
            <w:r>
              <w:rPr>
                <w:rFonts w:eastAsia="Calibri" w:cs=""/>
                <w:kern w:val="0"/>
                <w:sz w:val="22"/>
                <w:szCs w:val="22"/>
                <w:lang w:val="en-US" w:eastAsia="en-US" w:bidi="ar-SA"/>
              </w:rPr>
              <w:t>Art. 52</w:t>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806" w:type="dxa"/>
            <w:tcBorders/>
          </w:tcPr>
          <w:p>
            <w:pPr>
              <w:pStyle w:val="Normal"/>
              <w:widowControl/>
              <w:spacing w:lineRule="auto" w:line="240" w:before="0" w:after="0"/>
              <w:jc w:val="left"/>
              <w:rPr>
                <w:b/>
                <w:b/>
              </w:rPr>
            </w:pPr>
            <w:r>
              <w:rPr>
                <w:rFonts w:eastAsia="Calibri" w:cs=""/>
                <w:b/>
                <w:kern w:val="0"/>
                <w:sz w:val="22"/>
                <w:szCs w:val="22"/>
                <w:lang w:val="it-IT" w:eastAsia="en-US" w:bidi="ar-SA"/>
              </w:rPr>
              <w:t>7. RDO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7.1. La RDO è stata aperta o a inviti?</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 </w:t>
            </w:r>
            <w:r>
              <w:rPr>
                <w:rFonts w:eastAsia="Calibri" w:cs=""/>
                <w:kern w:val="0"/>
                <w:sz w:val="22"/>
                <w:szCs w:val="22"/>
                <w:lang w:val="it-IT" w:eastAsia="en-US" w:bidi="ar-SA"/>
              </w:rPr>
              <w:t>Aperta (solo nel caso di lavori pari o superiore a 1 milione di euro e inferiori alle soglie dell’art. 14)</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 </w:t>
            </w:r>
            <w:r>
              <w:rPr>
                <w:rFonts w:eastAsia="Calibri" w:cs=""/>
                <w:kern w:val="0"/>
                <w:sz w:val="22"/>
                <w:szCs w:val="22"/>
                <w:lang w:val="it-IT" w:eastAsia="en-US" w:bidi="ar-SA"/>
              </w:rPr>
              <w:t>A inviti</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Nel caso d’inviti, specificare il numero, le modalità d’individuazione degli invitati e verificare il rispetto del principio di rotazione</w:t>
            </w:r>
          </w:p>
        </w:tc>
        <w:tc>
          <w:tcPr>
            <w:tcW w:w="1859"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Artt. 38 e 41 Regolamento E-P</w:t>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80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7.2. Il documento di richiesta dell’offerta è regolare e conforme al contenuto prescritto?</w:t>
            </w:r>
          </w:p>
        </w:tc>
        <w:tc>
          <w:tcPr>
            <w:tcW w:w="1859" w:type="dxa"/>
            <w:tcBorders/>
          </w:tcPr>
          <w:p>
            <w:pPr>
              <w:pStyle w:val="Normal"/>
              <w:widowControl/>
              <w:spacing w:lineRule="auto" w:line="240" w:before="0" w:after="0"/>
              <w:jc w:val="left"/>
              <w:rPr>
                <w:lang w:val="en-US"/>
              </w:rPr>
            </w:pPr>
            <w:r>
              <w:rPr>
                <w:rFonts w:eastAsia="Calibri" w:cs=""/>
                <w:kern w:val="0"/>
                <w:sz w:val="22"/>
                <w:szCs w:val="22"/>
                <w:lang w:val="en-US" w:eastAsia="en-US" w:bidi="ar-SA"/>
              </w:rPr>
              <w:t>Art. 41 Regolamento E-P</w:t>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80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7.3. L’offerta è tempestiva, completa e regolare?</w:t>
            </w:r>
          </w:p>
        </w:tc>
        <w:tc>
          <w:tcPr>
            <w:tcW w:w="1859" w:type="dxa"/>
            <w:tcBorders/>
          </w:tcPr>
          <w:p>
            <w:pPr>
              <w:pStyle w:val="Normal"/>
              <w:widowControl/>
              <w:spacing w:lineRule="auto" w:line="240" w:before="0" w:after="0"/>
              <w:jc w:val="left"/>
              <w:rPr>
                <w:lang w:val="en-US"/>
              </w:rPr>
            </w:pPr>
            <w:r>
              <w:rPr>
                <w:rFonts w:eastAsia="Calibri" w:cs=""/>
                <w:kern w:val="0"/>
                <w:sz w:val="22"/>
                <w:szCs w:val="22"/>
                <w:lang w:val="en-US" w:eastAsia="en-US" w:bidi="ar-SA"/>
              </w:rPr>
              <w:t>Art. 42 Regolamento E-P</w:t>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80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7.4. La stazione appaltante ha validamente accettato, nei termini, l’offerta?</w:t>
            </w:r>
          </w:p>
        </w:tc>
        <w:tc>
          <w:tcPr>
            <w:tcW w:w="1859" w:type="dxa"/>
            <w:tcBorders/>
          </w:tcPr>
          <w:p>
            <w:pPr>
              <w:pStyle w:val="Normal"/>
              <w:widowControl/>
              <w:spacing w:lineRule="auto" w:line="240" w:before="0" w:after="0"/>
              <w:jc w:val="left"/>
              <w:rPr>
                <w:lang w:val="en-US"/>
              </w:rPr>
            </w:pPr>
            <w:r>
              <w:rPr>
                <w:rFonts w:eastAsia="Calibri" w:cs=""/>
                <w:kern w:val="0"/>
                <w:sz w:val="22"/>
                <w:szCs w:val="22"/>
                <w:lang w:val="en-US" w:eastAsia="en-US" w:bidi="ar-SA"/>
              </w:rPr>
              <w:t>Art. 43 Regolamento E-P</w:t>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80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7.5. Il contratto è presente nel sistema o è stato comunque fornito?</w:t>
            </w:r>
          </w:p>
        </w:tc>
        <w:tc>
          <w:tcPr>
            <w:tcW w:w="1859" w:type="dxa"/>
            <w:tcBorders/>
          </w:tcPr>
          <w:p>
            <w:pPr>
              <w:pStyle w:val="Normal"/>
              <w:widowControl/>
              <w:spacing w:lineRule="auto" w:line="240" w:before="0" w:after="0"/>
              <w:jc w:val="left"/>
              <w:rPr>
                <w:lang w:val="en-US"/>
              </w:rPr>
            </w:pPr>
            <w:r>
              <w:rPr>
                <w:rFonts w:eastAsia="Calibri" w:cs=""/>
                <w:kern w:val="0"/>
                <w:sz w:val="22"/>
                <w:szCs w:val="22"/>
                <w:lang w:val="en-US" w:eastAsia="en-US" w:bidi="ar-SA"/>
              </w:rPr>
              <w:t>Art. 54 Regolamento E-P</w:t>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80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7.6 Sono stati verificati i requisiti dell’aggiudicatario?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N.B. L’Operatore Economico può rispondere alla RDO presentando un’offerta in qualità di mandatario di un raggruppamento temporaneo di imprese, di una aggregazione tra imprese aderenti ad un contratto di rete priva di personalità giuridica. In tal caso, tutti gli operatori per conto dei quali l’Operatore Economico ammesso agisce devono essere a loro volta già ammessi al MEPA al momento della presentazione dell’offerta da parte dell’Operatore Economico.</w:t>
            </w:r>
          </w:p>
        </w:tc>
        <w:tc>
          <w:tcPr>
            <w:tcW w:w="1859" w:type="dxa"/>
            <w:tcBorders/>
          </w:tcPr>
          <w:p>
            <w:pPr>
              <w:pStyle w:val="Normal"/>
              <w:widowControl/>
              <w:spacing w:lineRule="auto" w:line="240" w:before="0" w:after="0"/>
              <w:jc w:val="left"/>
              <w:rPr>
                <w:lang w:val="en-US"/>
              </w:rPr>
            </w:pPr>
            <w:r>
              <w:rPr>
                <w:rFonts w:eastAsia="Calibri" w:cs=""/>
                <w:kern w:val="0"/>
                <w:sz w:val="22"/>
                <w:szCs w:val="22"/>
                <w:lang w:val="en-US" w:eastAsia="en-US" w:bidi="ar-SA"/>
              </w:rPr>
              <w:t>Art. 52</w:t>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806" w:type="dxa"/>
            <w:tcBorders/>
          </w:tcPr>
          <w:p>
            <w:pPr>
              <w:pStyle w:val="Normal"/>
              <w:widowControl/>
              <w:spacing w:lineRule="auto" w:line="240" w:before="0" w:after="0"/>
              <w:jc w:val="left"/>
              <w:rPr>
                <w:b/>
                <w:b/>
              </w:rPr>
            </w:pPr>
            <w:r>
              <w:rPr>
                <w:rFonts w:eastAsia="Calibri" w:cs=""/>
                <w:b/>
                <w:kern w:val="0"/>
                <w:sz w:val="22"/>
                <w:szCs w:val="22"/>
                <w:lang w:val="it-IT" w:eastAsia="en-US" w:bidi="ar-SA"/>
              </w:rPr>
              <w:t>8. Trattativa diretta</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8.1. L’invito alla trattativa diretta è regolare e conforme al contenuto prescritto?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Specificare il numero e il criterio di selezione dei soggetti o del soggetto invitato, anche al fine di verificare il rispetto del principio di rotazione</w:t>
            </w:r>
          </w:p>
        </w:tc>
        <w:tc>
          <w:tcPr>
            <w:tcW w:w="1859" w:type="dxa"/>
            <w:tcBorders/>
          </w:tcPr>
          <w:p>
            <w:pPr>
              <w:pStyle w:val="Normal"/>
              <w:widowControl/>
              <w:spacing w:lineRule="auto" w:line="240" w:before="0" w:after="0"/>
              <w:jc w:val="left"/>
              <w:rPr>
                <w:lang w:val="en-US"/>
              </w:rPr>
            </w:pPr>
            <w:r>
              <w:rPr>
                <w:rFonts w:eastAsia="Calibri" w:cs=""/>
                <w:kern w:val="0"/>
                <w:sz w:val="22"/>
                <w:szCs w:val="22"/>
                <w:lang w:val="en-US" w:eastAsia="en-US" w:bidi="ar-SA"/>
              </w:rPr>
              <w:t>Art. 44 Regolamento E-P</w:t>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80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8.2. L’offerta è tempestiva, completa e regolare?</w:t>
            </w:r>
          </w:p>
        </w:tc>
        <w:tc>
          <w:tcPr>
            <w:tcW w:w="1859" w:type="dxa"/>
            <w:tcBorders/>
          </w:tcPr>
          <w:p>
            <w:pPr>
              <w:pStyle w:val="Normal"/>
              <w:widowControl/>
              <w:spacing w:lineRule="auto" w:line="240" w:before="0" w:after="0"/>
              <w:jc w:val="left"/>
              <w:rPr>
                <w:lang w:val="en-US"/>
              </w:rPr>
            </w:pPr>
            <w:r>
              <w:rPr>
                <w:rFonts w:eastAsia="Calibri" w:cs=""/>
                <w:kern w:val="0"/>
                <w:sz w:val="22"/>
                <w:szCs w:val="22"/>
                <w:lang w:val="en-US" w:eastAsia="en-US" w:bidi="ar-SA"/>
              </w:rPr>
              <w:t>Art. 44 Regolamento E-P</w:t>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80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8.3. Il contratto è presente nel sistema o è stato comunque fornito?</w:t>
            </w:r>
          </w:p>
        </w:tc>
        <w:tc>
          <w:tcPr>
            <w:tcW w:w="1859" w:type="dxa"/>
            <w:tcBorders/>
          </w:tcPr>
          <w:p>
            <w:pPr>
              <w:pStyle w:val="Normal"/>
              <w:widowControl/>
              <w:spacing w:lineRule="auto" w:line="240" w:before="0" w:after="0"/>
              <w:jc w:val="left"/>
              <w:rPr>
                <w:lang w:val="en-US"/>
              </w:rPr>
            </w:pPr>
            <w:r>
              <w:rPr>
                <w:rFonts w:eastAsia="Calibri" w:cs=""/>
                <w:kern w:val="0"/>
                <w:sz w:val="22"/>
                <w:szCs w:val="22"/>
                <w:lang w:val="en-US" w:eastAsia="en-US" w:bidi="ar-SA"/>
              </w:rPr>
              <w:t>Art. 54 Regolamento E-P</w:t>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80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8.4. Sono stati verificati i requisiti dell’aggiudicatario?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N.B. L’Operatore Economico può rispondere alla richiesta presentando un’offerta in qualità di mandatario di un raggruppamento temporaneo di imprese, di una aggregazione tra imprese aderenti ad un contratto di rete priva di personalità giuridica. In tal caso, tutti gli operatori per conto dei quali l’Operatore Economico ammesso agisce devono essere a loro volta già ammessi al MEPA al momento della presentazione dell’offerta da parte dell’Operatore Economico.</w:t>
            </w:r>
          </w:p>
        </w:tc>
        <w:tc>
          <w:tcPr>
            <w:tcW w:w="1859" w:type="dxa"/>
            <w:tcBorders/>
          </w:tcPr>
          <w:p>
            <w:pPr>
              <w:pStyle w:val="Normal"/>
              <w:widowControl/>
              <w:spacing w:lineRule="auto" w:line="240" w:before="0" w:after="0"/>
              <w:jc w:val="left"/>
              <w:rPr>
                <w:lang w:val="en-US"/>
              </w:rPr>
            </w:pPr>
            <w:r>
              <w:rPr>
                <w:rFonts w:eastAsia="Calibri" w:cs=""/>
                <w:kern w:val="0"/>
                <w:sz w:val="22"/>
                <w:szCs w:val="22"/>
                <w:lang w:val="en-US" w:eastAsia="en-US" w:bidi="ar-SA"/>
              </w:rPr>
              <w:t>Art. 52</w:t>
            </w:r>
          </w:p>
        </w:tc>
        <w:tc>
          <w:tcPr>
            <w:tcW w:w="238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bl>
    <w:p>
      <w:pPr>
        <w:pStyle w:val="Normal"/>
        <w:widowControl/>
        <w:bidi w:val="0"/>
        <w:spacing w:lineRule="auto" w:line="276" w:before="0" w:after="200"/>
        <w:jc w:val="left"/>
        <w:rPr/>
      </w:pPr>
      <w:r>
        <w:rPr/>
      </w:r>
    </w:p>
    <w:sectPr>
      <w:headerReference w:type="default" r:id="rId2"/>
      <w:footerReference w:type="default" r:id="rId3"/>
      <w:type w:val="nextPage"/>
      <w:pgSz w:orient="landscape" w:w="16838" w:h="11906"/>
      <w:pgMar w:left="1134" w:right="1417" w:header="708" w:top="1134" w:footer="708"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458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108"/>
      <w:gridCol w:w="3009"/>
      <w:gridCol w:w="1433"/>
      <w:gridCol w:w="2081"/>
      <w:gridCol w:w="2358"/>
      <w:gridCol w:w="4597"/>
    </w:tblGrid>
    <w:tr>
      <w:trPr>
        <w:trHeight w:val="278" w:hRule="atLeast"/>
      </w:trPr>
      <w:tc>
        <w:tcPr>
          <w:tcW w:w="110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t>Ente</w:t>
          </w:r>
        </w:p>
      </w:tc>
      <w:tc>
        <w:tcPr>
          <w:tcW w:w="30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r>
        </w:p>
      </w:tc>
      <w:tc>
        <w:tcPr>
          <w:tcW w:w="143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t>Luogo e data</w:t>
          </w:r>
        </w:p>
      </w:tc>
      <w:tc>
        <w:tcPr>
          <w:tcW w:w="208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r>
        </w:p>
      </w:tc>
      <w:tc>
        <w:tcPr>
          <w:tcW w:w="23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rPr>
              <w:rFonts w:ascii="Arial" w:hAnsi="Arial" w:cs="Tahoma"/>
              <w:sz w:val="20"/>
            </w:rPr>
          </w:pPr>
          <w:r>
            <w:rPr>
              <w:rFonts w:cs="Tahoma" w:ascii="Arial" w:hAnsi="Arial"/>
              <w:sz w:val="20"/>
            </w:rPr>
            <w:t>Referente beneficiario/</w:t>
          </w:r>
        </w:p>
        <w:p>
          <w:pPr>
            <w:pStyle w:val="Normal"/>
            <w:widowControl w:val="false"/>
            <w:spacing w:before="0" w:after="0"/>
            <w:rPr>
              <w:rFonts w:ascii="Arial" w:hAnsi="Arial" w:cs="Tahoma"/>
              <w:sz w:val="20"/>
            </w:rPr>
          </w:pPr>
          <w:r>
            <w:rPr>
              <w:rFonts w:cs="Tahoma" w:ascii="Arial" w:hAnsi="Arial"/>
              <w:sz w:val="20"/>
            </w:rPr>
            <w:t>Incaricato del Controllo</w:t>
          </w:r>
        </w:p>
      </w:tc>
      <w:tc>
        <w:tcPr>
          <w:tcW w:w="459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r>
        </w:p>
      </w:tc>
    </w:tr>
  </w:tbl>
  <w:p>
    <w:pPr>
      <w:pStyle w:val="Pidipagina"/>
      <w:ind w:firstLine="708"/>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455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389"/>
      <w:gridCol w:w="3460"/>
      <w:gridCol w:w="2261"/>
      <w:gridCol w:w="1673"/>
      <w:gridCol w:w="1834"/>
      <w:gridCol w:w="3932"/>
    </w:tblGrid>
    <w:tr>
      <w:trPr>
        <w:trHeight w:val="412" w:hRule="atLeast"/>
      </w:trPr>
      <w:tc>
        <w:tcPr>
          <w:tcW w:w="14549"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Arial" w:hAnsi="Arial" w:cs="Tahoma"/>
              <w:sz w:val="20"/>
            </w:rPr>
          </w:pPr>
          <w:r>
            <w:rPr>
              <w:rFonts w:cs="Tahoma" w:ascii="Arial" w:hAnsi="Arial"/>
              <w:b/>
              <w:bCs/>
              <w:sz w:val="20"/>
            </w:rPr>
            <w:t>CHECK LIST PER LE PROCEDURE DI GARA PER APPALTI PUBBLICI DI LAVORI, SERVIZI E FORNITURE</w:t>
          </w:r>
          <w:r>
            <w:rPr>
              <w:rFonts w:cs="Tahoma" w:ascii="Arial" w:hAnsi="Arial"/>
              <w:sz w:val="20"/>
            </w:rPr>
            <w:t xml:space="preserve"> (D.Lgs. 31 marzo 2023, n. 36 e s.m.i.)</w:t>
          </w:r>
        </w:p>
        <w:p>
          <w:pPr>
            <w:pStyle w:val="Normal"/>
            <w:widowControl w:val="false"/>
            <w:spacing w:before="0" w:after="200"/>
            <w:rPr>
              <w:rFonts w:ascii="Arial" w:hAnsi="Arial" w:cs="Tahoma"/>
              <w:sz w:val="20"/>
            </w:rPr>
          </w:pPr>
          <w:r>
            <w:rPr>
              <w:rFonts w:cs="Tahoma" w:ascii="Arial" w:hAnsi="Arial"/>
              <w:sz w:val="20"/>
            </w:rPr>
            <w:t>Fase: AUTOVALUTAZIONE / CONTROLLO                                                                                                                           vers. 3.1</w:t>
          </w:r>
        </w:p>
      </w:tc>
    </w:tr>
    <w:tr>
      <w:trPr>
        <w:trHeight w:val="412" w:hRule="atLeast"/>
      </w:trPr>
      <w:tc>
        <w:tcPr>
          <w:tcW w:w="13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szCs w:val="22"/>
              <w:shd w:fill="auto" w:val="clear"/>
            </w:rPr>
          </w:pPr>
          <w:r>
            <w:rPr>
              <w:rFonts w:cs="Tahoma" w:ascii="Arial" w:hAnsi="Arial"/>
              <w:sz w:val="20"/>
              <w:szCs w:val="22"/>
              <w:shd w:fill="auto" w:val="clear"/>
            </w:rPr>
            <w:t>Programma</w:t>
          </w:r>
        </w:p>
      </w:tc>
      <w:tc>
        <w:tcPr>
          <w:tcW w:w="34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shd w:fill="auto" w:val="clear"/>
            </w:rPr>
          </w:pPr>
          <w:r>
            <w:rPr>
              <w:rFonts w:eastAsia="Cambria" w:cs="Tahoma" w:ascii="Arial" w:hAnsi="Arial"/>
              <w:color w:val="000000"/>
              <w:sz w:val="20"/>
              <w:szCs w:val="24"/>
              <w:shd w:fill="auto" w:val="clear"/>
              <w:lang w:val="it-IT" w:bidi="ar-SA"/>
            </w:rPr>
            <w:t>CSR 23-27</w:t>
          </w:r>
          <w:r>
            <w:rPr>
              <w:rFonts w:cs="Tahoma" w:ascii="Arial" w:hAnsi="Arial"/>
              <w:sz w:val="20"/>
              <w:shd w:fill="auto" w:val="clear"/>
            </w:rPr>
            <w:t xml:space="preserve"> / </w:t>
          </w:r>
          <w:r>
            <w:rPr>
              <w:rFonts w:eastAsia="Cambria" w:cs="Tahoma" w:ascii="Arial" w:hAnsi="Arial"/>
              <w:color w:val="000000"/>
              <w:sz w:val="20"/>
              <w:szCs w:val="24"/>
              <w:shd w:fill="auto" w:val="clear"/>
              <w:lang w:val="it-IT" w:bidi="ar-SA"/>
            </w:rPr>
            <w:t>PSR 14-22</w:t>
          </w:r>
          <w:r>
            <w:rPr>
              <w:rFonts w:cs="Tahoma" w:ascii="Arial" w:hAnsi="Arial"/>
              <w:sz w:val="20"/>
              <w:shd w:fill="auto" w:val="clear"/>
            </w:rPr>
            <w:t xml:space="preserve"> Regione Piemonte</w:t>
          </w:r>
        </w:p>
      </w:tc>
      <w:tc>
        <w:tcPr>
          <w:tcW w:w="22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2325" w:leader="none"/>
            </w:tabs>
            <w:spacing w:before="120" w:after="120"/>
            <w:ind w:left="170" w:hanging="0"/>
            <w:rPr>
              <w:rFonts w:ascii="Arial" w:hAnsi="Arial" w:cs="Arial"/>
              <w:sz w:val="18"/>
              <w:szCs w:val="18"/>
              <w:shd w:fill="auto" w:val="clear"/>
            </w:rPr>
          </w:pPr>
          <w:r>
            <w:rPr>
              <w:rFonts w:cs="Tahoma" w:ascii="Arial" w:hAnsi="Arial"/>
              <w:sz w:val="20"/>
              <w:szCs w:val="22"/>
              <w:shd w:fill="auto" w:val="clear"/>
            </w:rPr>
            <w:t>Intervento o Misura/Sottomisura/Operazione</w:t>
          </w:r>
        </w:p>
      </w:tc>
      <w:tc>
        <w:tcPr>
          <w:tcW w:w="167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szCs w:val="22"/>
              <w:shd w:fill="auto" w:val="clear"/>
            </w:rPr>
          </w:pPr>
          <w:r>
            <w:rPr>
              <w:rFonts w:cs="Tahoma" w:ascii="Arial" w:hAnsi="Arial"/>
              <w:sz w:val="20"/>
              <w:szCs w:val="22"/>
              <w:shd w:fill="auto" w:val="clear"/>
            </w:rPr>
            <w:t>X</w:t>
          </w:r>
        </w:p>
      </w:tc>
      <w:tc>
        <w:tcPr>
          <w:tcW w:w="18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szCs w:val="22"/>
              <w:shd w:fill="auto" w:val="clear"/>
            </w:rPr>
          </w:pPr>
          <w:r>
            <w:rPr>
              <w:rFonts w:cs="Tahoma" w:ascii="Arial" w:hAnsi="Arial"/>
              <w:sz w:val="20"/>
              <w:szCs w:val="22"/>
              <w:shd w:fill="auto" w:val="clear"/>
            </w:rPr>
            <w:t>Descrizione procedura</w:t>
          </w:r>
        </w:p>
      </w:tc>
      <w:tc>
        <w:tcPr>
          <w:tcW w:w="3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before="0" w:after="200"/>
            <w:rPr>
              <w:rFonts w:ascii="Arial" w:hAnsi="Arial" w:cs="Tahoma"/>
              <w:sz w:val="20"/>
              <w:szCs w:val="22"/>
              <w:shd w:fill="auto" w:val="clear"/>
            </w:rPr>
          </w:pPr>
          <w:r>
            <w:rPr>
              <w:rFonts w:cs="Tahoma" w:ascii="Arial" w:hAnsi="Arial"/>
              <w:sz w:val="20"/>
              <w:szCs w:val="22"/>
              <w:shd w:fill="auto" w:val="clear"/>
            </w:rPr>
          </w:r>
        </w:p>
      </w:tc>
    </w:tr>
    <w:tr>
      <w:trPr>
        <w:trHeight w:val="447" w:hRule="atLeast"/>
      </w:trPr>
      <w:tc>
        <w:tcPr>
          <w:tcW w:w="13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szCs w:val="22"/>
              <w:shd w:fill="auto" w:val="clear"/>
            </w:rPr>
          </w:pPr>
          <w:r>
            <w:rPr>
              <w:rFonts w:cs="Tahoma" w:ascii="Arial" w:hAnsi="Arial"/>
              <w:sz w:val="20"/>
              <w:szCs w:val="22"/>
              <w:shd w:fill="auto" w:val="clear"/>
            </w:rPr>
            <w:t>Beneficiario</w:t>
          </w:r>
        </w:p>
      </w:tc>
      <w:tc>
        <w:tcPr>
          <w:tcW w:w="34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sz w:val="20"/>
              <w:szCs w:val="22"/>
              <w:shd w:fill="auto" w:val="clear"/>
            </w:rPr>
          </w:pPr>
          <w:r>
            <w:rPr>
              <w:rFonts w:eastAsia="Arial" w:cs="Arial" w:ascii="Arial" w:hAnsi="Arial"/>
              <w:sz w:val="20"/>
              <w:szCs w:val="22"/>
              <w:shd w:fill="auto" w:val="clear"/>
            </w:rPr>
            <w:t xml:space="preserve"> </w:t>
          </w:r>
          <w:r>
            <w:rPr>
              <w:rFonts w:cs="Tahoma" w:ascii="Arial" w:hAnsi="Arial"/>
              <w:sz w:val="20"/>
              <w:szCs w:val="22"/>
              <w:shd w:fill="auto" w:val="clear"/>
            </w:rPr>
            <w:t>Beneficiario pubblico</w:t>
          </w:r>
        </w:p>
      </w:tc>
      <w:tc>
        <w:tcPr>
          <w:tcW w:w="22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szCs w:val="22"/>
              <w:shd w:fill="auto" w:val="clear"/>
            </w:rPr>
          </w:pPr>
          <w:r>
            <w:rPr>
              <w:rFonts w:cs="Tahoma" w:ascii="Arial" w:hAnsi="Arial"/>
              <w:sz w:val="20"/>
              <w:szCs w:val="22"/>
              <w:shd w:fill="auto" w:val="clear"/>
            </w:rPr>
            <w:t>n. domanda di sostegno</w:t>
          </w:r>
        </w:p>
      </w:tc>
      <w:tc>
        <w:tcPr>
          <w:tcW w:w="167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sz w:val="20"/>
              <w:szCs w:val="22"/>
              <w:shd w:fill="auto" w:val="clear"/>
            </w:rPr>
          </w:pPr>
          <w:r>
            <w:rPr>
              <w:rFonts w:eastAsia="Arial" w:cs="Arial" w:ascii="Arial" w:hAnsi="Arial"/>
              <w:sz w:val="20"/>
              <w:szCs w:val="22"/>
              <w:shd w:fill="auto" w:val="clear"/>
            </w:rPr>
            <w:t xml:space="preserve"> </w:t>
          </w:r>
          <w:r>
            <w:rPr>
              <w:rFonts w:cs="Tahoma" w:ascii="Arial" w:hAnsi="Arial"/>
              <w:sz w:val="20"/>
              <w:szCs w:val="22"/>
              <w:shd w:fill="auto" w:val="clear"/>
            </w:rPr>
            <w:t>000000000 del  /xx/xx/xxxx</w:t>
          </w:r>
        </w:p>
      </w:tc>
      <w:tc>
        <w:tcPr>
          <w:tcW w:w="18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szCs w:val="22"/>
              <w:shd w:fill="auto" w:val="clear"/>
            </w:rPr>
          </w:pPr>
          <w:r>
            <w:rPr>
              <w:rFonts w:cs="Tahoma" w:ascii="Arial" w:hAnsi="Arial"/>
              <w:sz w:val="20"/>
              <w:szCs w:val="22"/>
              <w:shd w:fill="auto" w:val="clear"/>
            </w:rPr>
            <w:t>n. domanda di pagamento</w:t>
          </w:r>
        </w:p>
      </w:tc>
      <w:tc>
        <w:tcPr>
          <w:tcW w:w="3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szCs w:val="22"/>
              <w:shd w:fill="auto" w:val="clear"/>
            </w:rPr>
          </w:pPr>
          <w:r>
            <w:rPr>
              <w:rFonts w:cs="Tahoma" w:ascii="Arial" w:hAnsi="Arial"/>
              <w:sz w:val="20"/>
              <w:szCs w:val="22"/>
              <w:shd w:fill="auto" w:val="clear"/>
            </w:rPr>
            <w:t>000000000 del  /xx/xx/xxxx</w:t>
          </w:r>
        </w:p>
      </w:tc>
    </w:tr>
  </w:tbl>
  <w:p>
    <w:pPr>
      <w:pStyle w:val="Intestazione"/>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link w:val="Intestazione"/>
    <w:uiPriority w:val="99"/>
    <w:qFormat/>
    <w:rsid w:val="00b02fb4"/>
    <w:rPr/>
  </w:style>
  <w:style w:type="character" w:styleId="PidipaginaCarattere" w:customStyle="1">
    <w:name w:val="Piè di pagina Carattere"/>
    <w:basedOn w:val="DefaultParagraphFont"/>
    <w:link w:val="Pidipagina"/>
    <w:uiPriority w:val="99"/>
    <w:qFormat/>
    <w:rsid w:val="00b02fb4"/>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ListParagraph">
    <w:name w:val="List Paragraph"/>
    <w:basedOn w:val="Normal"/>
    <w:uiPriority w:val="34"/>
    <w:qFormat/>
    <w:rsid w:val="008f6f6a"/>
    <w:pPr>
      <w:spacing w:before="0" w:after="200"/>
      <w:ind w:left="720" w:hanging="0"/>
      <w:contextualSpacing/>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b02fb4"/>
    <w:pPr>
      <w:tabs>
        <w:tab w:val="clear" w:pos="708"/>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b02fb4"/>
    <w:pPr>
      <w:tabs>
        <w:tab w:val="clear" w:pos="708"/>
        <w:tab w:val="center" w:pos="4819" w:leader="none"/>
        <w:tab w:val="right" w:pos="9638"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b755a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Application>LibreOffice/7.0.4.2$Windows_X86_64 LibreOffice_project/dcf040e67528d9187c66b2379df5ea4407429775</Application>
  <AppVersion>15.0000</AppVersion>
  <Pages>10</Pages>
  <Words>892</Words>
  <Characters>5016</Characters>
  <CharactersWithSpaces>5936</CharactersWithSpaces>
  <Paragraphs>98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2024-01-18T16:12:00Z</dcterms:created>
  <dc:creator/>
  <dc:description/>
  <dc:language>it-IT</dc:language>
  <cp:lastModifiedBy>Riccardo Garaffi</cp:lastModifiedBy>
  <dcterms:modified xsi:type="dcterms:W3CDTF">2024-04-19T09:53:09Z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