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45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01"/>
        <w:gridCol w:w="2230"/>
        <w:gridCol w:w="2241"/>
        <w:gridCol w:w="2125"/>
        <w:gridCol w:w="3970"/>
      </w:tblGrid>
      <w:tr>
        <w:trPr>
          <w:tblHeader w:val="true"/>
        </w:trPr>
        <w:tc>
          <w:tcPr>
            <w:tcW w:w="40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Descrizione</w:t>
            </w:r>
          </w:p>
        </w:tc>
        <w:tc>
          <w:tcPr>
            <w:tcW w:w="22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Riferimenti normativi</w:t>
            </w:r>
          </w:p>
        </w:tc>
        <w:tc>
          <w:tcPr>
            <w:tcW w:w="22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Esito verifica (regolare; Non regolare; Non Pertinente)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Documenti di riferimento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Note</w:t>
            </w:r>
          </w:p>
        </w:tc>
      </w:tr>
      <w:tr>
        <w:trPr/>
        <w:tc>
          <w:tcPr>
            <w:tcW w:w="40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1. Presupposti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1.1. Ricorrono tutti i presupposti normativi per l’affidamento in house?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- l’affidatario ha personalità giuridica distinta da quella della stazione appaltante;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- la stazione appaltante esercita sull’affidatario il controllo analogo (eventualmente, anche in modo congiunto con altre stazioni appaltanti);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- non vi è partecipazione di capitali privati nella compagine dell’affidatario, ad eccezione di quella prescritta da norme di legge e che comunque si realizza in forme che non comportino controllo o potere di veto, né l'esercizio di un'influenza determinante sull’affidatario;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- oltre l’80% del fatturato dell’affidatario è effettuato nello svolgimento dei compiti a esso affidati dalla stazione appaltante.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7, comma 2, e Allegato I.1., art. 3, comma 1, lett. 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2, comma 1, lett. o), e 16, commi 1 e 3, del d.lgs. 175/2016</w:t>
            </w:r>
          </w:p>
        </w:tc>
        <w:tc>
          <w:tcPr>
            <w:tcW w:w="22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0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1.2. La stazione appaltante ha motivato l’affidamento, dando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(N.B.:  in caso di prestazioni strumentali, il provvedimento si intende sufficientemente motivato qualora dia conto dei vantaggi in termini di economicità, di celerità o di perseguimento di interessi strategici. I vantaggi di economicità possono emergere anche mediante la comparazione con gli standard di riferimento della società Consip S.p.a. e delle altre centrali di committenza, con i parametri ufficiali elaborati da altri enti regionali nazionali o esteri oppure, in mancanza, con gli standard di mercato)</w:t>
            </w:r>
          </w:p>
        </w:tc>
        <w:tc>
          <w:tcPr>
            <w:tcW w:w="22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7, comma 2</w:t>
            </w:r>
          </w:p>
        </w:tc>
        <w:tc>
          <w:tcPr>
            <w:tcW w:w="22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0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2. Informazioni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2.1. La stazione appaltante ha assolto gli obblighi informativi relativi alle trasmissioni alla Banca dati nazionale dei contratti pubblici?</w:t>
            </w:r>
          </w:p>
        </w:tc>
        <w:tc>
          <w:tcPr>
            <w:tcW w:w="223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23, comma 5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Delibera ANAC 261/2023 (efficace a decorrere dal 1° gennaio 2024)</w:t>
            </w:r>
          </w:p>
        </w:tc>
        <w:tc>
          <w:tcPr>
            <w:tcW w:w="22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8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108"/>
      <w:gridCol w:w="3009"/>
      <w:gridCol w:w="1433"/>
      <w:gridCol w:w="2081"/>
      <w:gridCol w:w="2358"/>
      <w:gridCol w:w="4597"/>
    </w:tblGrid>
    <w:tr>
      <w:trPr>
        <w:trHeight w:val="278" w:hRule="atLeast"/>
      </w:trPr>
      <w:tc>
        <w:tcPr>
          <w:tcW w:w="11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Ente</w:t>
          </w:r>
        </w:p>
      </w:tc>
      <w:tc>
        <w:tcPr>
          <w:tcW w:w="3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14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Luogo e data</w:t>
          </w:r>
        </w:p>
      </w:tc>
      <w:tc>
        <w:tcPr>
          <w:tcW w:w="20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23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Referente beneficiario/</w:t>
          </w:r>
        </w:p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Incaricato del Controllo</w:t>
          </w:r>
        </w:p>
      </w:tc>
      <w:tc>
        <w:tcPr>
          <w:tcW w:w="45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</w:tr>
  </w:tbl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5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9"/>
      <w:gridCol w:w="3460"/>
      <w:gridCol w:w="2261"/>
      <w:gridCol w:w="1532"/>
      <w:gridCol w:w="1975"/>
      <w:gridCol w:w="3932"/>
    </w:tblGrid>
    <w:tr>
      <w:trPr>
        <w:trHeight w:val="412" w:hRule="atLeast"/>
      </w:trPr>
      <w:tc>
        <w:tcPr>
          <w:tcW w:w="14549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b/>
              <w:bCs/>
              <w:sz w:val="20"/>
            </w:rPr>
            <w:t>CHECK LIST PER LE PROCEDURE DI GARA PER APPALTI PUBBLICI DI LAVORI, SERVIZI E FORNITURE</w:t>
          </w:r>
          <w:r>
            <w:rPr>
              <w:rFonts w:cs="Tahoma" w:ascii="Arial" w:hAnsi="Arial"/>
              <w:sz w:val="20"/>
            </w:rPr>
            <w:t xml:space="preserve"> (D.Lgs. 31 marzo 2023, n. 36 e s.m.i.)</w:t>
          </w:r>
        </w:p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Fase: AUTOVALUTAZIONE / CONTROLLO                                                                                                                           vers. 3.1</w:t>
          </w:r>
        </w:p>
      </w:tc>
    </w:tr>
    <w:tr>
      <w:trPr>
        <w:trHeight w:val="412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Programma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hd w:fill="auto" w:val="clear"/>
            </w:rPr>
          </w:pP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CSR 23-27</w:t>
          </w:r>
          <w:r>
            <w:rPr>
              <w:rFonts w:cs="Tahoma" w:ascii="Arial" w:hAnsi="Arial"/>
              <w:sz w:val="20"/>
              <w:shd w:fill="auto" w:val="clear"/>
            </w:rPr>
            <w:t xml:space="preserve"> / </w:t>
          </w: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PSR 14-22</w:t>
          </w:r>
          <w:r>
            <w:rPr>
              <w:rFonts w:cs="Tahoma" w:ascii="Arial" w:hAnsi="Arial"/>
              <w:sz w:val="20"/>
              <w:shd w:fill="auto" w:val="clear"/>
            </w:rPr>
            <w:t xml:space="preserve"> Regione Piemonte</w:t>
          </w:r>
        </w:p>
      </w:tc>
      <w:tc>
        <w:tcPr>
          <w:tcW w:w="226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080" w:leader="none"/>
              <w:tab w:val="left" w:pos="2160" w:leader="none"/>
            </w:tabs>
            <w:spacing w:before="120" w:after="120"/>
            <w:ind w:left="170" w:hanging="0"/>
            <w:rPr>
              <w:rFonts w:ascii="Arial" w:hAnsi="Arial" w:cs="Arial"/>
              <w:sz w:val="18"/>
              <w:szCs w:val="18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Intervento o Misura/Sottomisura/Operazione</w:t>
          </w:r>
        </w:p>
      </w:tc>
      <w:tc>
        <w:tcPr>
          <w:tcW w:w="1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X</w:t>
          </w:r>
        </w:p>
      </w:tc>
      <w:tc>
        <w:tcPr>
          <w:tcW w:w="19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Descrizione procedura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napToGrid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</w:r>
        </w:p>
      </w:tc>
    </w:tr>
    <w:tr>
      <w:trPr>
        <w:trHeight w:val="752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 pubblico</w:t>
          </w:r>
        </w:p>
      </w:tc>
      <w:tc>
        <w:tcPr>
          <w:tcW w:w="226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sostegno</w:t>
          </w:r>
        </w:p>
      </w:tc>
      <w:tc>
        <w:tcPr>
          <w:tcW w:w="1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  <w:tc>
        <w:tcPr>
          <w:tcW w:w="19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pagamento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9f3541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9f3541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6f6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9f3541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9f3541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LibreOffice/7.0.4.2$Windows_X86_64 LibreOffice_project/dcf040e67528d9187c66b2379df5ea4407429775</Application>
  <AppVersion>15.0000</AppVersion>
  <Pages>4</Pages>
  <Words>371</Words>
  <Characters>2232</Characters>
  <CharactersWithSpaces>2693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2024-01-18T16:50:00Z</dcterms:created>
  <dc:creator/>
  <dc:description/>
  <dc:language>it-IT</dc:language>
  <cp:lastModifiedBy>Riccardo Garaffi</cp:lastModifiedBy>
  <dcterms:modified xsi:type="dcterms:W3CDTF">2024-04-19T09:59:11Z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