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Grigliatabella"/>
        <w:tblW w:w="1456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450"/>
        <w:gridCol w:w="1673"/>
        <w:gridCol w:w="2922"/>
        <w:gridCol w:w="2552"/>
        <w:gridCol w:w="3970"/>
      </w:tblGrid>
      <w:tr>
        <w:trPr>
          <w:tblHeader w:val="true"/>
        </w:trPr>
        <w:tc>
          <w:tcPr>
            <w:tcW w:w="3450" w:type="dxa"/>
            <w:tcBorders/>
          </w:tcPr>
          <w:p>
            <w:pPr>
              <w:pStyle w:val="Normal"/>
              <w:widowControl/>
              <w:spacing w:lineRule="auto" w:line="240" w:before="0" w:after="0"/>
              <w:jc w:val="left"/>
              <w:rPr>
                <w:b/>
                <w:b/>
                <w:sz w:val="20"/>
                <w:szCs w:val="20"/>
              </w:rPr>
            </w:pPr>
            <w:r>
              <w:rPr>
                <w:rFonts w:eastAsia="Calibri" w:cs=""/>
                <w:b/>
                <w:kern w:val="0"/>
                <w:sz w:val="20"/>
                <w:szCs w:val="20"/>
                <w:lang w:val="it-IT" w:eastAsia="en-US" w:bidi="ar-SA"/>
              </w:rPr>
              <w:t>Descrizione</w:t>
            </w:r>
          </w:p>
        </w:tc>
        <w:tc>
          <w:tcPr>
            <w:tcW w:w="1673" w:type="dxa"/>
            <w:tcBorders/>
          </w:tcPr>
          <w:p>
            <w:pPr>
              <w:pStyle w:val="Normal"/>
              <w:widowControl/>
              <w:spacing w:lineRule="auto" w:line="240" w:before="0" w:after="0"/>
              <w:jc w:val="left"/>
              <w:rPr>
                <w:b/>
                <w:b/>
                <w:sz w:val="20"/>
                <w:szCs w:val="20"/>
              </w:rPr>
            </w:pPr>
            <w:r>
              <w:rPr>
                <w:rFonts w:eastAsia="Calibri" w:cs=""/>
                <w:b/>
                <w:kern w:val="0"/>
                <w:sz w:val="20"/>
                <w:szCs w:val="20"/>
                <w:lang w:val="it-IT" w:eastAsia="en-US" w:bidi="ar-SA"/>
              </w:rPr>
              <w:t>Riferimenti normativi</w:t>
            </w:r>
          </w:p>
        </w:tc>
        <w:tc>
          <w:tcPr>
            <w:tcW w:w="2922" w:type="dxa"/>
            <w:tcBorders/>
          </w:tcPr>
          <w:p>
            <w:pPr>
              <w:pStyle w:val="Normal"/>
              <w:widowControl/>
              <w:spacing w:lineRule="auto" w:line="240" w:before="0" w:after="0"/>
              <w:jc w:val="left"/>
              <w:rPr>
                <w:b/>
                <w:b/>
                <w:sz w:val="20"/>
                <w:szCs w:val="20"/>
              </w:rPr>
            </w:pPr>
            <w:r>
              <w:rPr>
                <w:rFonts w:eastAsia="Calibri" w:cs=""/>
                <w:b/>
                <w:kern w:val="0"/>
                <w:sz w:val="20"/>
                <w:szCs w:val="20"/>
                <w:lang w:val="it-IT" w:eastAsia="en-US" w:bidi="ar-SA"/>
              </w:rPr>
              <w:t>Esito verifica (regolare; Non regolare; Non Pertinente)</w:t>
            </w:r>
          </w:p>
          <w:p>
            <w:pPr>
              <w:pStyle w:val="Normal"/>
              <w:widowControl/>
              <w:spacing w:lineRule="auto" w:line="240" w:before="0" w:after="0"/>
              <w:jc w:val="left"/>
              <w:rPr>
                <w:b/>
                <w:b/>
                <w:sz w:val="20"/>
                <w:szCs w:val="20"/>
              </w:rPr>
            </w:pPr>
            <w:r>
              <w:rPr>
                <w:rFonts w:eastAsia="Calibri" w:cs=""/>
                <w:b/>
                <w:kern w:val="0"/>
                <w:sz w:val="20"/>
                <w:szCs w:val="20"/>
                <w:lang w:val="it-IT" w:eastAsia="en-US" w:bidi="ar-SA"/>
              </w:rPr>
            </w:r>
          </w:p>
          <w:p>
            <w:pPr>
              <w:pStyle w:val="Normal"/>
              <w:widowControl/>
              <w:spacing w:lineRule="auto" w:line="240" w:before="0" w:after="0"/>
              <w:jc w:val="left"/>
              <w:rPr>
                <w:b/>
                <w:b/>
                <w:sz w:val="20"/>
                <w:szCs w:val="20"/>
              </w:rPr>
            </w:pPr>
            <w:r>
              <w:rPr>
                <w:rFonts w:eastAsia="Calibri" w:cs=""/>
                <w:b/>
                <w:kern w:val="0"/>
                <w:sz w:val="20"/>
                <w:szCs w:val="20"/>
                <w:lang w:val="it-IT" w:eastAsia="en-US" w:bidi="ar-SA"/>
              </w:rPr>
            </w:r>
          </w:p>
        </w:tc>
        <w:tc>
          <w:tcPr>
            <w:tcW w:w="2552" w:type="dxa"/>
            <w:tcBorders/>
          </w:tcPr>
          <w:p>
            <w:pPr>
              <w:pStyle w:val="Normal"/>
              <w:widowControl/>
              <w:spacing w:lineRule="auto" w:line="240" w:before="0" w:after="0"/>
              <w:jc w:val="left"/>
              <w:rPr>
                <w:b/>
                <w:b/>
                <w:sz w:val="20"/>
                <w:szCs w:val="20"/>
              </w:rPr>
            </w:pPr>
            <w:r>
              <w:rPr>
                <w:rFonts w:eastAsia="Calibri" w:cs=""/>
                <w:b/>
                <w:kern w:val="0"/>
                <w:sz w:val="20"/>
                <w:szCs w:val="20"/>
                <w:lang w:val="it-IT" w:eastAsia="en-US" w:bidi="ar-SA"/>
              </w:rPr>
              <w:t>Documenti di riferimento</w:t>
            </w:r>
          </w:p>
        </w:tc>
        <w:tc>
          <w:tcPr>
            <w:tcW w:w="3970" w:type="dxa"/>
            <w:tcBorders/>
          </w:tcPr>
          <w:p>
            <w:pPr>
              <w:pStyle w:val="Normal"/>
              <w:widowControl/>
              <w:spacing w:lineRule="auto" w:line="240" w:before="0" w:after="0"/>
              <w:jc w:val="left"/>
              <w:rPr>
                <w:b/>
                <w:b/>
                <w:sz w:val="20"/>
                <w:szCs w:val="20"/>
              </w:rPr>
            </w:pPr>
            <w:r>
              <w:rPr>
                <w:rFonts w:eastAsia="Calibri" w:cs=""/>
                <w:b/>
                <w:kern w:val="0"/>
                <w:sz w:val="20"/>
                <w:szCs w:val="20"/>
                <w:lang w:val="it-IT" w:eastAsia="en-US" w:bidi="ar-SA"/>
              </w:rPr>
              <w:t>Note</w:t>
            </w:r>
          </w:p>
        </w:tc>
      </w:tr>
      <w:tr>
        <w:trPr/>
        <w:tc>
          <w:tcPr>
            <w:tcW w:w="3450" w:type="dxa"/>
            <w:tcBorders/>
          </w:tcPr>
          <w:p>
            <w:pPr>
              <w:pStyle w:val="Normal"/>
              <w:widowControl/>
              <w:spacing w:lineRule="auto" w:line="240" w:before="0" w:after="0"/>
              <w:jc w:val="left"/>
              <w:rPr>
                <w:b/>
                <w:b/>
              </w:rPr>
            </w:pPr>
            <w:r>
              <w:rPr>
                <w:rFonts w:eastAsia="Calibri" w:cs=""/>
                <w:b/>
                <w:kern w:val="0"/>
                <w:sz w:val="22"/>
                <w:szCs w:val="22"/>
                <w:lang w:val="it-IT" w:eastAsia="en-US" w:bidi="ar-SA"/>
              </w:rPr>
              <w:t>1. Appalti di lavori</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1.1 È stato nominato il direttore dei lavori con le modalità e secondo i requisiti prescritti?</w:t>
            </w:r>
          </w:p>
        </w:tc>
        <w:tc>
          <w:tcPr>
            <w:tcW w:w="1673"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114 commi 2 e 6, Allegato II.14</w:t>
            </w:r>
          </w:p>
        </w:tc>
        <w:tc>
          <w:tcPr>
            <w:tcW w:w="292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450"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1.2.  In relazione alla complessità dell'intervento, è stato eventualmente formato un ufficio di direzione dei lavori, costituito da uno o più direttori operativi e da ispettori di cantiere, e dalle figure previste nell'allegato I.9, in possesso dei requisiti prescritti?</w:t>
            </w:r>
          </w:p>
        </w:tc>
        <w:tc>
          <w:tcPr>
            <w:tcW w:w="1673"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114 comma 2, Allegato II.14</w:t>
            </w:r>
          </w:p>
        </w:tc>
        <w:tc>
          <w:tcPr>
            <w:tcW w:w="292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450"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1.3. È stato nominato il coordinatore in materia di salute e di sicurezza durante l'esecuzione previsto dal decreto legislativo 9 aprile 2008, n. 81?</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(nel caso di contratti di importo non superiore a 1 milione di euro e comunque in assenza di lavori complessi e di rischi di interferenze, il direttore dei lavori, se in possesso dei requisiti richiesti dalla normativa vigente sulla sicurezza, svolge anche le funzioni di coordinatore per la sicurezza in fase di esecuzione. Se il direttore dei lavori non può svolgere tali funzioni, la stazione appaltante designa almeno un direttore operativo in possesso dei requisiti)</w:t>
            </w:r>
          </w:p>
        </w:tc>
        <w:tc>
          <w:tcPr>
            <w:tcW w:w="1673"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114 commi 1 e 4, Allegato II.14</w:t>
            </w:r>
          </w:p>
        </w:tc>
        <w:tc>
          <w:tcPr>
            <w:tcW w:w="292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b/>
                <w:b/>
              </w:rPr>
            </w:pPr>
            <w:r>
              <w:rPr>
                <w:rFonts w:eastAsia="Calibri" w:cs=""/>
                <w:b/>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b/>
                <w:b/>
              </w:rPr>
            </w:pPr>
            <w:r>
              <w:rPr>
                <w:rFonts w:eastAsia="Calibri" w:cs=""/>
                <w:b/>
                <w:kern w:val="0"/>
                <w:sz w:val="22"/>
                <w:szCs w:val="22"/>
                <w:lang w:val="it-IT" w:eastAsia="en-US" w:bidi="ar-SA"/>
              </w:rPr>
            </w:r>
          </w:p>
          <w:p>
            <w:pPr>
              <w:pStyle w:val="Normal"/>
              <w:widowControl/>
              <w:spacing w:lineRule="auto" w:line="240" w:before="0" w:after="0"/>
              <w:jc w:val="left"/>
              <w:rPr>
                <w:b/>
                <w:b/>
              </w:rPr>
            </w:pPr>
            <w:r>
              <w:rPr>
                <w:rFonts w:eastAsia="Calibri" w:cs=""/>
                <w:b/>
                <w:kern w:val="0"/>
                <w:sz w:val="22"/>
                <w:szCs w:val="22"/>
                <w:lang w:val="it-IT" w:eastAsia="en-US" w:bidi="ar-SA"/>
              </w:rPr>
            </w:r>
          </w:p>
          <w:p>
            <w:pPr>
              <w:pStyle w:val="Normal"/>
              <w:widowControl/>
              <w:spacing w:lineRule="auto" w:line="240" w:before="0" w:after="0"/>
              <w:jc w:val="center"/>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450"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1.4. Le modalità con cui il direttore dei lavori effettua l'attività di direzione, controllo e contabilità dei lavori sono conformi a quanto stabilito dall’Allegato II.14?</w:t>
            </w:r>
          </w:p>
        </w:tc>
        <w:tc>
          <w:tcPr>
            <w:tcW w:w="1673"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115, commi 1 e 2</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Allegato II.14</w:t>
            </w:r>
          </w:p>
        </w:tc>
        <w:tc>
          <w:tcPr>
            <w:tcW w:w="292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450"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1.5. È stato emesso il certificato di collaudo entro 6 mesi dall’ultimazione dei lavori?</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(il termine può essere elevato a un anno in casi di particolare complessità previsti dall’Allegato II.14, oppure ridotto nei casi di limitata complessità se previsto dalla lettera d’incarico)</w:t>
            </w:r>
          </w:p>
        </w:tc>
        <w:tc>
          <w:tcPr>
            <w:tcW w:w="1673"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116, comma 2</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Allegato II.14</w:t>
            </w:r>
          </w:p>
        </w:tc>
        <w:tc>
          <w:tcPr>
            <w:tcW w:w="292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450"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1.6. Sono stati nominati da 1 a 3 collaudatori secondo le modalità e con i requisiti prescritti?</w:t>
            </w:r>
          </w:p>
        </w:tc>
        <w:tc>
          <w:tcPr>
            <w:tcW w:w="1673"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116, comma 4</w:t>
            </w:r>
          </w:p>
        </w:tc>
        <w:tc>
          <w:tcPr>
            <w:tcW w:w="292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450"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1.7. Le modalità tecniche e i tempi di svolgimento del collaudo sono conformi a quanto prescritto?</w:t>
            </w:r>
          </w:p>
        </w:tc>
        <w:tc>
          <w:tcPr>
            <w:tcW w:w="1673"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116,</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comma 7</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Allegato II.14</w:t>
            </w:r>
          </w:p>
        </w:tc>
        <w:tc>
          <w:tcPr>
            <w:tcW w:w="292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450"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b/>
                <w:kern w:val="0"/>
                <w:sz w:val="22"/>
                <w:szCs w:val="22"/>
                <w:lang w:val="it-IT" w:eastAsia="en-US" w:bidi="ar-SA"/>
              </w:rPr>
              <w:t>2 Appalti di servizi e forniture</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2.1. L’affidamento rientra fra i contratti di servizi e forniture di particolare importanza, per qualità o importo delle prestazioni, individuati dall’Allegato II.14, per cui il direttore dell'esecuzione deve essere diverso dal RUP?</w:t>
            </w:r>
          </w:p>
        </w:tc>
        <w:tc>
          <w:tcPr>
            <w:tcW w:w="1673"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114, comma 8,</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Allegato II.14</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 </w:t>
            </w:r>
            <w:r>
              <w:rPr>
                <w:rFonts w:eastAsia="Calibri" w:cs=""/>
                <w:kern w:val="0"/>
                <w:sz w:val="22"/>
                <w:szCs w:val="22"/>
                <w:lang w:val="it-IT" w:eastAsia="en-US" w:bidi="ar-SA"/>
              </w:rPr>
              <w:t>comma 1, lett. b)</w:t>
            </w:r>
          </w:p>
        </w:tc>
        <w:tc>
          <w:tcPr>
            <w:tcW w:w="292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450"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2.2. Nel caso di contratti di servizi e forniture di particolare importanza, sono stati eventualmente nominati uno o più assistenti con funzioni di direttore operativo per svolgere i compiti e coadiuvare il direttore dell'esecuzione?</w:t>
            </w:r>
          </w:p>
        </w:tc>
        <w:tc>
          <w:tcPr>
            <w:tcW w:w="1673"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114, comma 10,</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Allegato II.14</w:t>
            </w:r>
          </w:p>
        </w:tc>
        <w:tc>
          <w:tcPr>
            <w:tcW w:w="292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450"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2.3. Qualora le stazioni appaltanti non dispongano al loro interno delle competenze o del personale necessario ad espletare l’attività, il direttore dell’esecuzione è stato individuato con le modalità e secondo i requisiti prescritti?</w:t>
            </w:r>
          </w:p>
        </w:tc>
        <w:tc>
          <w:tcPr>
            <w:tcW w:w="1673"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114, commi 6 e 9</w:t>
            </w:r>
          </w:p>
        </w:tc>
        <w:tc>
          <w:tcPr>
            <w:tcW w:w="292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450"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2.4. Le modalità con cui il direttore dell’esecuzione effettua l'attività di direzione, controllo e contabilità dell’affidamento sono conformi a quanto stabilito dal capitolato speciale o, in mancanza, dall’Allegato II.14?</w:t>
            </w:r>
          </w:p>
        </w:tc>
        <w:tc>
          <w:tcPr>
            <w:tcW w:w="1673"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115, comma 3</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Allegato II.14</w:t>
            </w:r>
          </w:p>
        </w:tc>
        <w:tc>
          <w:tcPr>
            <w:tcW w:w="292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450"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2.5. È stata effettuata la verifica di conformità entro 6 mesi dall’ultimazione della prestazione?</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(il termine può essere elevato a un anno in casi di particolare complessità previsti dall’Allegato II.14, oppure ridotto nei casi di limitata complessità se previsto dalla lettera d’incarico)</w:t>
            </w:r>
          </w:p>
        </w:tc>
        <w:tc>
          <w:tcPr>
            <w:tcW w:w="1673"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92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450"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2.6. Per servizi e forniture caratterizzati da elevato contenuto tecnologico oppure da elevata complessità o innovazione, le stazioni appaltanti hanno eventualmente nominato uno o più verificatori della conformità diversi dal RUP o dal direttore dell'esecuzione del contratto?</w:t>
            </w:r>
          </w:p>
        </w:tc>
        <w:tc>
          <w:tcPr>
            <w:tcW w:w="1673"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116, comma 5</w:t>
            </w:r>
          </w:p>
        </w:tc>
        <w:tc>
          <w:tcPr>
            <w:tcW w:w="292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450"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2.7. Le modalità tecniche e i tempi di svolgimento della verifica di conformità sono conformi a quanto prescritto?</w:t>
            </w:r>
          </w:p>
        </w:tc>
        <w:tc>
          <w:tcPr>
            <w:tcW w:w="1673"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116, commi 8 e 9</w:t>
            </w:r>
          </w:p>
        </w:tc>
        <w:tc>
          <w:tcPr>
            <w:tcW w:w="292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450" w:type="dxa"/>
            <w:tcBorders/>
          </w:tcPr>
          <w:p>
            <w:pPr>
              <w:pStyle w:val="Normal"/>
              <w:widowControl/>
              <w:spacing w:lineRule="auto" w:line="240" w:before="0" w:after="0"/>
              <w:jc w:val="left"/>
              <w:rPr>
                <w:b/>
                <w:b/>
              </w:rPr>
            </w:pPr>
            <w:r>
              <w:rPr>
                <w:rFonts w:eastAsia="Calibri" w:cs=""/>
                <w:b/>
                <w:kern w:val="0"/>
                <w:sz w:val="22"/>
                <w:szCs w:val="22"/>
                <w:lang w:val="it-IT" w:eastAsia="en-US" w:bidi="ar-SA"/>
              </w:rPr>
              <w:t>3. Garanzia definitiva</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3.1. È stata prestata la garanzia definitiva nelle forme e secondo le procedure prescritte?</w:t>
            </w:r>
          </w:p>
        </w:tc>
        <w:tc>
          <w:tcPr>
            <w:tcW w:w="1673"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Artt. 117 e 118</w:t>
            </w:r>
          </w:p>
        </w:tc>
        <w:tc>
          <w:tcPr>
            <w:tcW w:w="292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450"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3.2. Sono state stipulate le polizze assicurative prescritte?</w:t>
            </w:r>
          </w:p>
        </w:tc>
        <w:tc>
          <w:tcPr>
            <w:tcW w:w="1673"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117, commi 10 e 11</w:t>
            </w:r>
          </w:p>
        </w:tc>
        <w:tc>
          <w:tcPr>
            <w:tcW w:w="292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450" w:type="dxa"/>
            <w:tcBorders/>
          </w:tcPr>
          <w:p>
            <w:pPr>
              <w:pStyle w:val="Normal"/>
              <w:widowControl/>
              <w:spacing w:lineRule="auto" w:line="240" w:before="0" w:after="0"/>
              <w:jc w:val="left"/>
              <w:rPr>
                <w:b/>
                <w:b/>
              </w:rPr>
            </w:pPr>
            <w:r>
              <w:rPr>
                <w:rFonts w:eastAsia="Calibri" w:cs=""/>
                <w:b/>
                <w:kern w:val="0"/>
                <w:sz w:val="22"/>
                <w:szCs w:val="22"/>
                <w:lang w:val="it-IT" w:eastAsia="en-US" w:bidi="ar-SA"/>
              </w:rPr>
              <w:t>4. Subappalto</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4.1. Vi è stato subappalto?</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 </w:t>
            </w:r>
            <w:r>
              <w:rPr>
                <w:rFonts w:eastAsia="Calibri" w:cs=""/>
                <w:kern w:val="0"/>
                <w:sz w:val="22"/>
                <w:szCs w:val="22"/>
                <w:lang w:val="it-IT" w:eastAsia="en-US" w:bidi="ar-SA"/>
              </w:rPr>
              <w:t>Sì</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 </w:t>
            </w:r>
            <w:r>
              <w:rPr>
                <w:rFonts w:eastAsia="Calibri" w:cs=""/>
                <w:kern w:val="0"/>
                <w:sz w:val="22"/>
                <w:szCs w:val="22"/>
                <w:lang w:val="it-IT" w:eastAsia="en-US" w:bidi="ar-SA"/>
              </w:rPr>
              <w:t>No</w:t>
            </w:r>
          </w:p>
        </w:tc>
        <w:tc>
          <w:tcPr>
            <w:tcW w:w="1673"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119</w:t>
            </w:r>
          </w:p>
        </w:tc>
        <w:tc>
          <w:tcPr>
            <w:tcW w:w="292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450"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4.2. Qualora la stazione appaltante, previa adeguata motivazione, abbia indicato nei documenti di gara le prestazioni o lavorazioni oggetto del contratto da eseguire a cura dell'aggiudicatario, tale indicazione è stata rispettata?</w:t>
            </w:r>
          </w:p>
        </w:tc>
        <w:tc>
          <w:tcPr>
            <w:tcW w:w="1673"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119, comma 2</w:t>
            </w:r>
          </w:p>
        </w:tc>
        <w:tc>
          <w:tcPr>
            <w:tcW w:w="292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450"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4.3. La stazione appaltante ha autorizzato il subappalto?</w:t>
            </w:r>
          </w:p>
        </w:tc>
        <w:tc>
          <w:tcPr>
            <w:tcW w:w="1673"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119, comma 4</w:t>
            </w:r>
          </w:p>
        </w:tc>
        <w:tc>
          <w:tcPr>
            <w:tcW w:w="292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450"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4.4. Esistono tutte le condizioni prescritte per l’autorizzazione del subappalto?</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 il subappaltatore sia qualificato per le lavorazioni o le prestazioni da eseguire;</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 </w:t>
            </w:r>
            <w:r>
              <w:rPr>
                <w:rFonts w:eastAsia="Calibri" w:cs=""/>
                <w:kern w:val="0"/>
                <w:sz w:val="22"/>
                <w:szCs w:val="22"/>
                <w:lang w:val="it-IT" w:eastAsia="en-US" w:bidi="ar-SA"/>
              </w:rPr>
              <w:t>Sì</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 </w:t>
            </w:r>
            <w:r>
              <w:rPr>
                <w:rFonts w:eastAsia="Calibri" w:cs=""/>
                <w:kern w:val="0"/>
                <w:sz w:val="22"/>
                <w:szCs w:val="22"/>
                <w:lang w:val="it-IT" w:eastAsia="en-US" w:bidi="ar-SA"/>
              </w:rPr>
              <w:t>No</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b) non sussistano a suo carico le cause di esclusione di cui al Capo II del Titolo IV della Parte V del Libro II;</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 </w:t>
            </w:r>
            <w:r>
              <w:rPr>
                <w:rFonts w:eastAsia="Calibri" w:cs=""/>
                <w:kern w:val="0"/>
                <w:sz w:val="22"/>
                <w:szCs w:val="22"/>
                <w:lang w:val="it-IT" w:eastAsia="en-US" w:bidi="ar-SA"/>
              </w:rPr>
              <w:t>Sì</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 </w:t>
            </w:r>
            <w:r>
              <w:rPr>
                <w:rFonts w:eastAsia="Calibri" w:cs=""/>
                <w:kern w:val="0"/>
                <w:sz w:val="22"/>
                <w:szCs w:val="22"/>
                <w:lang w:val="it-IT" w:eastAsia="en-US" w:bidi="ar-SA"/>
              </w:rPr>
              <w:t>No</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c) all'atto dell'offerta siano stati indicati i lavori o le parti di opere ovvero i servizi e le forniture o parti di servizi e forniture che si intende subappaltare</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 </w:t>
            </w:r>
            <w:r>
              <w:rPr>
                <w:rFonts w:eastAsia="Calibri" w:cs=""/>
                <w:kern w:val="0"/>
                <w:sz w:val="22"/>
                <w:szCs w:val="22"/>
                <w:lang w:val="it-IT" w:eastAsia="en-US" w:bidi="ar-SA"/>
              </w:rPr>
              <w:t>Sì</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 </w:t>
            </w:r>
            <w:r>
              <w:rPr>
                <w:rFonts w:eastAsia="Calibri" w:cs=""/>
                <w:kern w:val="0"/>
                <w:sz w:val="22"/>
                <w:szCs w:val="22"/>
                <w:lang w:val="it-IT" w:eastAsia="en-US" w:bidi="ar-SA"/>
              </w:rPr>
              <w:t>No</w:t>
            </w:r>
          </w:p>
        </w:tc>
        <w:tc>
          <w:tcPr>
            <w:tcW w:w="1673"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119, comma 4</w:t>
            </w:r>
          </w:p>
        </w:tc>
        <w:tc>
          <w:tcPr>
            <w:tcW w:w="292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450"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4.5. L'affidatario ha trasmesso il contratto di subappalto alla stazione appaltante almeno 20 giorni prima della data di effettivo inizio dell'esecuzione delle relative prestazioni?</w:t>
            </w:r>
          </w:p>
        </w:tc>
        <w:tc>
          <w:tcPr>
            <w:tcW w:w="1673"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119, comma 5</w:t>
            </w:r>
          </w:p>
        </w:tc>
        <w:tc>
          <w:tcPr>
            <w:tcW w:w="292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450"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4.6. L'affidatario ha trasmesso alla stazione appaltante almeno 20 giorni prima della data di effettivo inizio dell'esecuzione delle relative prestazioni la dichiarazione del subappaltatore attestante l'assenza delle cause di esclusione e il possesso dei requisiti?</w:t>
            </w:r>
          </w:p>
        </w:tc>
        <w:tc>
          <w:tcPr>
            <w:tcW w:w="1673"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119, comma 5</w:t>
            </w:r>
          </w:p>
        </w:tc>
        <w:tc>
          <w:tcPr>
            <w:tcW w:w="292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450"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4.7. La stazione appaltante ha verificato la dichiarazione del subappaltatore attestante l'assenza delle cause di esclusione e il possesso dei requisiti?</w:t>
            </w:r>
          </w:p>
        </w:tc>
        <w:tc>
          <w:tcPr>
            <w:tcW w:w="1673"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119,</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comma 5</w:t>
            </w:r>
          </w:p>
        </w:tc>
        <w:tc>
          <w:tcPr>
            <w:tcW w:w="292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450" w:type="dxa"/>
            <w:tcBorders/>
          </w:tcPr>
          <w:p>
            <w:pPr>
              <w:pStyle w:val="Normal"/>
              <w:widowControl/>
              <w:spacing w:lineRule="auto" w:line="240" w:before="0" w:after="0"/>
              <w:jc w:val="left"/>
              <w:rPr/>
            </w:pPr>
            <w:r>
              <w:rPr>
                <w:rFonts w:eastAsia="Calibri" w:cs=""/>
                <w:kern w:val="0"/>
                <w:sz w:val="22"/>
                <w:szCs w:val="22"/>
                <w:lang w:val="it-IT" w:eastAsia="en-US" w:bidi="ar-SA"/>
              </w:rPr>
              <w:t>4.8. L'affidatario che si avvale del subappalto o del cottimo ha allegato alla copia autentica del contratto la dichiarazione circa la sussistenza o meno di eventuali forme di controllo o di collegamento a norma de</w:t>
            </w:r>
            <w:r>
              <w:rPr>
                <w:rFonts w:eastAsia="Calibri" w:cs=""/>
                <w:color w:val="000000" w:themeColor="text1"/>
                <w:kern w:val="0"/>
                <w:sz w:val="22"/>
                <w:szCs w:val="22"/>
                <w:lang w:val="it-IT" w:eastAsia="en-US" w:bidi="ar-SA"/>
              </w:rPr>
              <w:t>ll'</w:t>
            </w:r>
            <w:r>
              <w:fldChar w:fldCharType="begin"/>
            </w:r>
            <w:r>
              <w:rPr>
                <w:rStyle w:val="CollegamentoInternet"/>
                <w:sz w:val="22"/>
                <w:u w:val="none"/>
                <w:kern w:val="0"/>
                <w:szCs w:val="22"/>
                <w:rFonts w:eastAsia="Calibri" w:cs=""/>
                <w:color w:val="000000"/>
                <w:lang w:val="it-IT" w:eastAsia="en-US" w:bidi="ar-SA"/>
              </w:rPr>
              <w:instrText> HYPERLINK "https://dejure.it/" \l "/ricerca/fonti_documento?idDatabank=10&amp;idDocMaster=166331&amp;idUnitaDoc=830087&amp;nVigUnitaDoc=1&amp;docIdx=1&amp;isCorrelazioniSearch=true&amp;correlatoA=Normativa"</w:instrText>
            </w:r>
            <w:r>
              <w:rPr>
                <w:rStyle w:val="CollegamentoInternet"/>
                <w:sz w:val="22"/>
                <w:u w:val="none"/>
                <w:kern w:val="0"/>
                <w:szCs w:val="22"/>
                <w:rFonts w:eastAsia="Calibri" w:cs=""/>
                <w:color w:val="000000"/>
                <w:lang w:val="it-IT" w:eastAsia="en-US" w:bidi="ar-SA"/>
              </w:rPr>
              <w:fldChar w:fldCharType="separate"/>
            </w:r>
            <w:r>
              <w:rPr>
                <w:rStyle w:val="CollegamentoInternet"/>
                <w:rFonts w:eastAsia="Calibri" w:cs=""/>
                <w:color w:val="000000" w:themeColor="text1"/>
                <w:kern w:val="0"/>
                <w:sz w:val="22"/>
                <w:szCs w:val="22"/>
                <w:u w:val="none"/>
                <w:lang w:val="it-IT" w:eastAsia="en-US" w:bidi="ar-SA"/>
              </w:rPr>
              <w:t>articolo 2359 del codice civile</w:t>
            </w:r>
            <w:r>
              <w:rPr>
                <w:rStyle w:val="CollegamentoInternet"/>
                <w:sz w:val="22"/>
                <w:u w:val="none"/>
                <w:kern w:val="0"/>
                <w:szCs w:val="22"/>
                <w:rFonts w:eastAsia="Calibri" w:cs=""/>
                <w:color w:val="000000"/>
                <w:lang w:val="it-IT" w:eastAsia="en-US" w:bidi="ar-SA"/>
              </w:rPr>
              <w:fldChar w:fldCharType="end"/>
            </w:r>
            <w:r>
              <w:rPr>
                <w:rFonts w:eastAsia="Calibri" w:cs=""/>
                <w:color w:val="000000" w:themeColor="text1"/>
                <w:kern w:val="0"/>
                <w:sz w:val="22"/>
                <w:szCs w:val="22"/>
                <w:lang w:val="it-IT" w:eastAsia="en-US" w:bidi="ar-SA"/>
              </w:rPr>
              <w:t> c</w:t>
            </w:r>
            <w:r>
              <w:rPr>
                <w:rFonts w:eastAsia="Calibri" w:cs=""/>
                <w:kern w:val="0"/>
                <w:sz w:val="22"/>
                <w:szCs w:val="22"/>
                <w:lang w:val="it-IT" w:eastAsia="en-US" w:bidi="ar-SA"/>
              </w:rPr>
              <w:t>on il titolare del subappalto o del cottimo?</w:t>
            </w:r>
          </w:p>
        </w:tc>
        <w:tc>
          <w:tcPr>
            <w:tcW w:w="1673"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119, comma 16</w:t>
            </w:r>
          </w:p>
        </w:tc>
        <w:tc>
          <w:tcPr>
            <w:tcW w:w="292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450"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4.9. Il subappaltatore, per le prestazioni affidate in subappalto, garantisce gli stessi standard qualitativi e prestazionali previsti nel contratto di appalto e riconosce ai lavoratori un trattamento economico e normativo non inferiore a quello che avrebbe garantito il contraente principale?</w:t>
            </w:r>
          </w:p>
        </w:tc>
        <w:tc>
          <w:tcPr>
            <w:tcW w:w="1673"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119, comma 12</w:t>
            </w:r>
          </w:p>
        </w:tc>
        <w:tc>
          <w:tcPr>
            <w:tcW w:w="292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450"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4.10. Qualora la stazione appaltante abbia indicato nei documenti di gara le prestazioni o lavorazioni oggetto del contratto di appalto che,</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pur subappaltabili, non possono formare oggetto di ulteriore subappalto (sub-subappalto), tale indicazione è stata rispettata?</w:t>
            </w:r>
          </w:p>
        </w:tc>
        <w:tc>
          <w:tcPr>
            <w:tcW w:w="1673"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119, comma 17</w:t>
            </w:r>
          </w:p>
        </w:tc>
        <w:tc>
          <w:tcPr>
            <w:tcW w:w="292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450" w:type="dxa"/>
            <w:tcBorders/>
          </w:tcPr>
          <w:p>
            <w:pPr>
              <w:pStyle w:val="Normal"/>
              <w:widowControl/>
              <w:spacing w:lineRule="auto" w:line="240" w:before="0" w:after="0"/>
              <w:jc w:val="left"/>
              <w:rPr>
                <w:b/>
                <w:b/>
              </w:rPr>
            </w:pPr>
            <w:r>
              <w:rPr>
                <w:rFonts w:eastAsia="Calibri" w:cs=""/>
                <w:b/>
                <w:kern w:val="0"/>
                <w:sz w:val="22"/>
                <w:szCs w:val="22"/>
                <w:lang w:val="it-IT" w:eastAsia="en-US" w:bidi="ar-SA"/>
              </w:rPr>
              <w:t>5. Modifica del contratto in corso di esecuzione</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5.1. Vi è stata una modificazione del contratto in corso di esecuzione senza una nuova procedura di affidamento?</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 </w:t>
            </w:r>
            <w:r>
              <w:rPr>
                <w:rFonts w:eastAsia="Calibri" w:cs=""/>
                <w:kern w:val="0"/>
                <w:sz w:val="22"/>
                <w:szCs w:val="22"/>
                <w:lang w:val="it-IT" w:eastAsia="en-US" w:bidi="ar-SA"/>
              </w:rPr>
              <w:t>Sì</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 xml:space="preserve">□ </w:t>
            </w:r>
            <w:r>
              <w:rPr>
                <w:rFonts w:eastAsia="Calibri" w:cs=""/>
                <w:kern w:val="0"/>
                <w:sz w:val="22"/>
                <w:szCs w:val="22"/>
                <w:lang w:val="it-IT" w:eastAsia="en-US" w:bidi="ar-SA"/>
              </w:rPr>
              <w:t>No</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1673"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120</w:t>
            </w:r>
          </w:p>
        </w:tc>
        <w:tc>
          <w:tcPr>
            <w:tcW w:w="292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450"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5.2. Indicare, fra le seguenti, l’ipotesi in cui si rientra:</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pPr>
            <w:r>
              <w:rPr>
                <w:rFonts w:eastAsia="Calibri" w:cs=""/>
                <w:b/>
                <w:kern w:val="0"/>
                <w:sz w:val="22"/>
                <w:szCs w:val="22"/>
                <w:lang w:val="it-IT" w:eastAsia="en-US" w:bidi="ar-SA"/>
              </w:rPr>
              <w:t xml:space="preserve">a) </w:t>
            </w:r>
            <w:r>
              <w:rPr>
                <w:rFonts w:eastAsia="Calibri" w:cs=""/>
                <w:kern w:val="0"/>
                <w:sz w:val="22"/>
                <w:szCs w:val="22"/>
                <w:lang w:val="it-IT" w:eastAsia="en-US" w:bidi="ar-SA"/>
              </w:rPr>
              <w:t>se le modifiche, a prescindere dal loro valore monetario, sono state previste in clausole chiare, precise e inequivocabili dei documenti di gara iniziali, che possono consistere anche in clausole di opzione; per i contratti relativi a servizi o forniture stipulati dai soggetti aggregatori restano ferme le disposizioni di cui all'</w:t>
            </w:r>
            <w:r>
              <w:fldChar w:fldCharType="begin"/>
            </w:r>
            <w:r>
              <w:rPr>
                <w:rStyle w:val="CollegamentoInternet"/>
                <w:sz w:val="22"/>
                <w:u w:val="none"/>
                <w:kern w:val="0"/>
                <w:szCs w:val="22"/>
                <w:rFonts w:eastAsia="Calibri" w:cs=""/>
                <w:color w:val="000000"/>
                <w:lang w:val="it-IT" w:eastAsia="en-US" w:bidi="ar-SA"/>
              </w:rPr>
              <w:instrText> HYPERLINK "https://dejure.it/" \l "/ricerca/fonti_documento?idDatabank=7&amp;idDocMaster=4845525&amp;idUnitaDoc=28768709&amp;nVigUnitaDoc=1&amp;docIdx=1&amp;isCorrelazioniSearch=true&amp;correlatoA=Normativa"</w:instrText>
            </w:r>
            <w:r>
              <w:rPr>
                <w:rStyle w:val="CollegamentoInternet"/>
                <w:sz w:val="22"/>
                <w:u w:val="none"/>
                <w:kern w:val="0"/>
                <w:szCs w:val="22"/>
                <w:rFonts w:eastAsia="Calibri" w:cs=""/>
                <w:color w:val="000000"/>
                <w:lang w:val="it-IT" w:eastAsia="en-US" w:bidi="ar-SA"/>
              </w:rPr>
              <w:fldChar w:fldCharType="separate"/>
            </w:r>
            <w:r>
              <w:rPr>
                <w:rStyle w:val="CollegamentoInternet"/>
                <w:rFonts w:eastAsia="Calibri" w:cs=""/>
                <w:color w:val="000000" w:themeColor="text1"/>
                <w:kern w:val="0"/>
                <w:sz w:val="22"/>
                <w:szCs w:val="22"/>
                <w:u w:val="none"/>
                <w:lang w:val="it-IT" w:eastAsia="en-US" w:bidi="ar-SA"/>
              </w:rPr>
              <w:t>articolo 1, comma 511, della legge 28 dicembre 2015, n. 208</w:t>
            </w:r>
            <w:r>
              <w:rPr>
                <w:rStyle w:val="CollegamentoInternet"/>
                <w:sz w:val="22"/>
                <w:u w:val="none"/>
                <w:kern w:val="0"/>
                <w:szCs w:val="22"/>
                <w:rFonts w:eastAsia="Calibri" w:cs=""/>
                <w:color w:val="000000"/>
                <w:lang w:val="it-IT" w:eastAsia="en-US" w:bidi="ar-SA"/>
              </w:rPr>
              <w:fldChar w:fldCharType="end"/>
            </w:r>
            <w:r>
              <w:rPr>
                <w:rFonts w:eastAsia="Calibri" w:cs=""/>
                <w:color w:val="000000" w:themeColor="text1"/>
                <w:kern w:val="0"/>
                <w:sz w:val="22"/>
                <w:szCs w:val="22"/>
                <w:lang w:val="it-IT" w:eastAsia="en-US" w:bidi="ar-SA"/>
              </w:rPr>
              <w:t>;</w:t>
            </w:r>
          </w:p>
          <w:p>
            <w:pPr>
              <w:pStyle w:val="Normal"/>
              <w:widowControl/>
              <w:spacing w:lineRule="auto" w:line="240" w:before="0" w:after="0"/>
              <w:jc w:val="left"/>
              <w:rPr>
                <w:b/>
                <w:b/>
              </w:rPr>
            </w:pPr>
            <w:r>
              <w:rPr>
                <w:rFonts w:eastAsia="Calibri" w:cs=""/>
                <w:b/>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b/>
                <w:kern w:val="0"/>
                <w:sz w:val="22"/>
                <w:szCs w:val="22"/>
                <w:lang w:val="it-IT" w:eastAsia="en-US" w:bidi="ar-SA"/>
              </w:rPr>
              <w:t>b</w:t>
            </w:r>
            <w:r>
              <w:rPr>
                <w:rFonts w:eastAsia="Calibri" w:cs=""/>
                <w:kern w:val="0"/>
                <w:sz w:val="22"/>
                <w:szCs w:val="22"/>
                <w:lang w:val="it-IT" w:eastAsia="en-US" w:bidi="ar-SA"/>
              </w:rPr>
              <w:t>)  sempreché l'eventuale aumento di prezzo non ecceda il 50 per cento del valore del contratto iniziale, per la sopravvenuta necessità di lavori, servizi o forniture supplementari, non previsti nell'appalto iniziale, ove un cambiamento del contraente nel contempo:</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1) risulti impraticabile per motivi economici o tecnici;</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2) comporti per la stazione appaltante notevoli disagi o un sostanziale incremento dei costi;</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b/>
                <w:kern w:val="0"/>
                <w:sz w:val="22"/>
                <w:szCs w:val="22"/>
                <w:lang w:val="it-IT" w:eastAsia="en-US" w:bidi="ar-SA"/>
              </w:rPr>
              <w:t>c)</w:t>
            </w:r>
            <w:r>
              <w:rPr>
                <w:rFonts w:eastAsia="Calibri" w:cs=""/>
                <w:kern w:val="0"/>
                <w:sz w:val="22"/>
                <w:szCs w:val="22"/>
                <w:lang w:val="it-IT" w:eastAsia="en-US" w:bidi="ar-SA"/>
              </w:rPr>
              <w:t xml:space="preserve">  sempreché l'eventuale aumento di prezzo non ecceda il 50 per cento del valore del contratto iniziale, per le varianti in corso d'opera, da intendersi come modifiche resesi necessarie in corso di esecuzione dell'appalto per effetto di circostanze imprevedibili da parte della stazione appaltante. Rientrano in tali circostanze nuove disposizioni legislative o regolamentari o provvedimenti sopravvenuti di autorità o enti preposti alla tutela di interessi rilevanti;</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b/>
                <w:kern w:val="0"/>
                <w:sz w:val="22"/>
                <w:szCs w:val="22"/>
                <w:lang w:val="it-IT" w:eastAsia="en-US" w:bidi="ar-SA"/>
              </w:rPr>
              <w:t>d)</w:t>
            </w:r>
            <w:r>
              <w:rPr>
                <w:rFonts w:eastAsia="Calibri" w:cs=""/>
                <w:kern w:val="0"/>
                <w:sz w:val="22"/>
                <w:szCs w:val="22"/>
                <w:lang w:val="it-IT" w:eastAsia="en-US" w:bidi="ar-SA"/>
              </w:rPr>
              <w:t xml:space="preserve"> se un nuovo contraente sostituisce l'aggiudicatario a causa di una delle seguenti circostanze:</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1) le modifiche soggettive implicanti la sostituzione del contraente originario sono previste in clausole chiare, precise e inequivocabili dei documenti di gara;</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2) all'aggiudicatario succede, per causa di morte o insolvenza o a seguito di ristrutturazioni societarie, che comportino successione nei rapporti pendenti, un altro operatore economico che soddisfi gli iniziali criteri di selezione, purché ciò non implichi ulteriori modifiche sostanziali al contratto e non sia finalizzato ad eludere l'applicazione del codice, fatto salvo quanto previsto dall'articolo 124;</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3) nel caso in cui la stazione appaltante assume gli obblighi del contraente principale nei confronti dei suoi subappaltatori.</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b/>
                <w:kern w:val="0"/>
                <w:sz w:val="22"/>
                <w:szCs w:val="22"/>
                <w:lang w:val="it-IT" w:eastAsia="en-US" w:bidi="ar-SA"/>
              </w:rPr>
              <w:t>e)</w:t>
            </w:r>
            <w:r>
              <w:rPr>
                <w:rFonts w:eastAsia="Calibri" w:cs=""/>
                <w:kern w:val="0"/>
                <w:sz w:val="22"/>
                <w:szCs w:val="22"/>
                <w:lang w:val="it-IT" w:eastAsia="en-US" w:bidi="ar-SA"/>
              </w:rPr>
              <w:t xml:space="preserve"> sempreché nonostante le modifiche, la struttura del contratto o dell'accordo quadro e l'operazione economica sottesa possano ritenersi inalterate, se il valore della modifica è al di sotto di entrambi i seguenti valori:</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i) le soglie fissate all'articolo 14;</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ii) il 10 per cento del valore iniziale del contratto per i contratti di servizi e forniture; il 15 per cento del valore iniziale del contratto per i contratti di lavori</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b/>
                <w:kern w:val="0"/>
                <w:sz w:val="22"/>
                <w:szCs w:val="22"/>
                <w:lang w:val="it-IT" w:eastAsia="en-US" w:bidi="ar-SA"/>
              </w:rPr>
              <w:t>f)</w:t>
            </w:r>
            <w:r>
              <w:rPr>
                <w:rFonts w:eastAsia="Calibri" w:cs=""/>
                <w:kern w:val="0"/>
                <w:sz w:val="22"/>
                <w:szCs w:val="22"/>
                <w:lang w:val="it-IT" w:eastAsia="en-US" w:bidi="ar-SA"/>
              </w:rPr>
              <w:t xml:space="preserve"> in tutti i casi in cui si tratti di modifiche non sostanziali ai sensi del Codice</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b/>
                <w:kern w:val="0"/>
                <w:sz w:val="22"/>
                <w:szCs w:val="22"/>
                <w:lang w:val="it-IT" w:eastAsia="en-US" w:bidi="ar-SA"/>
              </w:rPr>
              <w:t>g)</w:t>
            </w:r>
            <w:r>
              <w:rPr>
                <w:rFonts w:eastAsia="Calibri" w:cs=""/>
                <w:kern w:val="0"/>
                <w:sz w:val="22"/>
                <w:szCs w:val="22"/>
                <w:lang w:val="it-IT" w:eastAsia="en-US" w:bidi="ar-SA"/>
              </w:rPr>
              <w:t xml:space="preserve"> nei casi in cui sia necessario preservare l’equilibrio contrattuale ai sensi dell’art. 9 del Codice e nel rispetto delle eventuali clausole di rinegoziazione all’interno del contratto</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b/>
                <w:kern w:val="0"/>
                <w:sz w:val="22"/>
                <w:szCs w:val="22"/>
                <w:lang w:val="it-IT" w:eastAsia="en-US" w:bidi="ar-SA"/>
              </w:rPr>
              <w:t>h)</w:t>
            </w:r>
            <w:r>
              <w:rPr>
                <w:rFonts w:eastAsia="Calibri" w:cs=""/>
                <w:kern w:val="0"/>
                <w:sz w:val="22"/>
                <w:szCs w:val="22"/>
                <w:lang w:val="it-IT" w:eastAsia="en-US" w:bidi="ar-SA"/>
              </w:rPr>
              <w:t xml:space="preserve"> si rientra nella fattispecie del “quinto d’obbligo”, qualora previsto nei documenti di gara iniziali</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b/>
                <w:kern w:val="0"/>
                <w:sz w:val="22"/>
                <w:szCs w:val="22"/>
                <w:lang w:val="it-IT" w:eastAsia="en-US" w:bidi="ar-SA"/>
              </w:rPr>
              <w:t>i)</w:t>
            </w:r>
            <w:r>
              <w:rPr>
                <w:rFonts w:eastAsia="Calibri" w:cs=""/>
                <w:kern w:val="0"/>
                <w:sz w:val="22"/>
                <w:szCs w:val="22"/>
                <w:lang w:val="it-IT" w:eastAsia="en-US" w:bidi="ar-SA"/>
              </w:rPr>
              <w:t xml:space="preserve"> sono previste opzioni di proroga o si rientra in ipotesi di proroga  dovuta a esigenze eccezionali</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1673"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120</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9</w:t>
            </w:r>
          </w:p>
        </w:tc>
        <w:tc>
          <w:tcPr>
            <w:tcW w:w="292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450"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5.3. Le modifiche e le varianti sono state autorizzate dal RUP?</w:t>
            </w:r>
          </w:p>
        </w:tc>
        <w:tc>
          <w:tcPr>
            <w:tcW w:w="1673"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120, comma 13</w:t>
            </w:r>
          </w:p>
        </w:tc>
        <w:tc>
          <w:tcPr>
            <w:tcW w:w="292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450"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5.4. Sono stati assolti gli obblighi di pubblicità e comunicazione della variante?</w:t>
            </w:r>
          </w:p>
        </w:tc>
        <w:tc>
          <w:tcPr>
            <w:tcW w:w="1673"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120, commi 14 e 15</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Allegato II.16</w:t>
            </w:r>
          </w:p>
        </w:tc>
        <w:tc>
          <w:tcPr>
            <w:tcW w:w="292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450" w:type="dxa"/>
            <w:tcBorders/>
          </w:tcPr>
          <w:p>
            <w:pPr>
              <w:pStyle w:val="Normal"/>
              <w:widowControl/>
              <w:spacing w:lineRule="auto" w:line="240" w:before="0" w:after="0"/>
              <w:jc w:val="left"/>
              <w:rPr>
                <w:b/>
                <w:b/>
              </w:rPr>
            </w:pPr>
            <w:r>
              <w:rPr>
                <w:rFonts w:eastAsia="Calibri" w:cs=""/>
                <w:b/>
                <w:kern w:val="0"/>
                <w:sz w:val="22"/>
                <w:szCs w:val="22"/>
                <w:lang w:val="it-IT" w:eastAsia="en-US" w:bidi="ar-SA"/>
              </w:rPr>
              <w:t>6. Sospensione dell’esecuzione</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6.1. Qualora sia intervenuta una sospensione dell’esecuzione, questa è avvenuta in conformità ai requisiti prescritti?</w:t>
            </w:r>
          </w:p>
        </w:tc>
        <w:tc>
          <w:tcPr>
            <w:tcW w:w="1673"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121</w:t>
            </w:r>
          </w:p>
        </w:tc>
        <w:tc>
          <w:tcPr>
            <w:tcW w:w="292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450" w:type="dxa"/>
            <w:tcBorders/>
          </w:tcPr>
          <w:p>
            <w:pPr>
              <w:pStyle w:val="Normal"/>
              <w:widowControl/>
              <w:spacing w:lineRule="auto" w:line="240" w:before="0" w:after="0"/>
              <w:jc w:val="left"/>
              <w:rPr>
                <w:b/>
                <w:b/>
              </w:rPr>
            </w:pPr>
            <w:r>
              <w:rPr>
                <w:rFonts w:eastAsia="Calibri" w:cs=""/>
                <w:b/>
                <w:kern w:val="0"/>
                <w:sz w:val="22"/>
                <w:szCs w:val="22"/>
                <w:lang w:val="it-IT" w:eastAsia="en-US" w:bidi="ar-SA"/>
              </w:rPr>
              <w:t>7. Risoluzione del contratto</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7.1. Qualora sia intervenuta la risoluzione del contratto, questa è avvenuta in conformità ai requisiti prescritti?</w:t>
            </w:r>
          </w:p>
        </w:tc>
        <w:tc>
          <w:tcPr>
            <w:tcW w:w="1673"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122</w:t>
            </w:r>
          </w:p>
        </w:tc>
        <w:tc>
          <w:tcPr>
            <w:tcW w:w="292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450" w:type="dxa"/>
            <w:tcBorders/>
          </w:tcPr>
          <w:p>
            <w:pPr>
              <w:pStyle w:val="Normal"/>
              <w:widowControl/>
              <w:spacing w:lineRule="auto" w:line="240" w:before="0" w:after="0"/>
              <w:jc w:val="left"/>
              <w:rPr>
                <w:b/>
                <w:b/>
              </w:rPr>
            </w:pPr>
            <w:r>
              <w:rPr>
                <w:rFonts w:eastAsia="Calibri" w:cs=""/>
                <w:b/>
                <w:kern w:val="0"/>
                <w:sz w:val="22"/>
                <w:szCs w:val="22"/>
                <w:lang w:val="it-IT" w:eastAsia="en-US" w:bidi="ar-SA"/>
              </w:rPr>
              <w:t>8. Recesso</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8.1. Qualora sia intervenuto il recesso della stazione appaltante, questo è avvenuto in conformità ai requisiti prescritti?</w:t>
            </w:r>
          </w:p>
        </w:tc>
        <w:tc>
          <w:tcPr>
            <w:tcW w:w="1673"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123</w:t>
            </w:r>
          </w:p>
        </w:tc>
        <w:tc>
          <w:tcPr>
            <w:tcW w:w="292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450" w:type="dxa"/>
            <w:tcBorders/>
          </w:tcPr>
          <w:p>
            <w:pPr>
              <w:pStyle w:val="Normal"/>
              <w:widowControl/>
              <w:spacing w:lineRule="auto" w:line="240" w:before="0" w:after="0"/>
              <w:jc w:val="left"/>
              <w:rPr>
                <w:b/>
                <w:b/>
                <w:bCs/>
              </w:rPr>
            </w:pPr>
            <w:r>
              <w:rPr>
                <w:rFonts w:eastAsia="Calibri" w:cs=""/>
                <w:b/>
                <w:kern w:val="0"/>
                <w:sz w:val="22"/>
                <w:szCs w:val="22"/>
                <w:lang w:val="it-IT" w:eastAsia="en-US" w:bidi="ar-SA"/>
              </w:rPr>
              <w:t xml:space="preserve">9. </w:t>
            </w:r>
            <w:r>
              <w:rPr>
                <w:rFonts w:eastAsia="Calibri" w:cs=""/>
                <w:b/>
                <w:bCs/>
                <w:kern w:val="0"/>
                <w:sz w:val="22"/>
                <w:szCs w:val="22"/>
                <w:lang w:val="it-IT" w:eastAsia="en-US" w:bidi="ar-SA"/>
              </w:rPr>
              <w:t>Esecuzione o completamento dei lavori, servizi o forniture nel caso di procedura di insolvenza o di impedimento alla prosecuzione dell'affidamento con l'esecutore designato</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bCs/>
                <w:kern w:val="0"/>
                <w:sz w:val="22"/>
                <w:szCs w:val="22"/>
                <w:lang w:val="it-IT" w:eastAsia="en-US" w:bidi="ar-SA"/>
              </w:rPr>
              <w:t>9.1. Qualora sia intervenuta l’esecuzione o il completamento dei lavori, servizi o forniture nel caso di procedura di insolvenza o di impedimento alla prosecuzione dell'affidamento con l'esecutore designato, ciò è avvenuto in conformità ai requisiti prescritti?</w:t>
            </w:r>
          </w:p>
        </w:tc>
        <w:tc>
          <w:tcPr>
            <w:tcW w:w="1673"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124</w:t>
            </w:r>
          </w:p>
        </w:tc>
        <w:tc>
          <w:tcPr>
            <w:tcW w:w="292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450" w:type="dxa"/>
            <w:tcBorders/>
          </w:tcPr>
          <w:p>
            <w:pPr>
              <w:pStyle w:val="Normal"/>
              <w:widowControl/>
              <w:spacing w:lineRule="auto" w:line="240" w:before="0" w:after="0"/>
              <w:jc w:val="left"/>
              <w:rPr>
                <w:b/>
                <w:b/>
                <w:bCs/>
              </w:rPr>
            </w:pPr>
            <w:r>
              <w:rPr>
                <w:rFonts w:eastAsia="Calibri" w:cs=""/>
                <w:b/>
                <w:kern w:val="0"/>
                <w:sz w:val="22"/>
                <w:szCs w:val="22"/>
                <w:lang w:val="it-IT" w:eastAsia="en-US" w:bidi="ar-SA"/>
              </w:rPr>
              <w:t xml:space="preserve">10. </w:t>
            </w:r>
            <w:r>
              <w:rPr>
                <w:rFonts w:eastAsia="Calibri" w:cs=""/>
                <w:b/>
                <w:bCs/>
                <w:kern w:val="0"/>
                <w:sz w:val="22"/>
                <w:szCs w:val="22"/>
                <w:lang w:val="it-IT" w:eastAsia="en-US" w:bidi="ar-SA"/>
              </w:rPr>
              <w:t>Anticipazione, modalità e termini di pagamento del corrispettivo</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bCs/>
                <w:kern w:val="0"/>
                <w:sz w:val="22"/>
                <w:szCs w:val="22"/>
                <w:lang w:val="it-IT" w:eastAsia="en-US" w:bidi="ar-SA"/>
              </w:rPr>
              <w:t>10.1. Sono state rispettate le prescrizioni in materia di modalità e termini di pagamento del corrispettivo?</w:t>
            </w:r>
          </w:p>
        </w:tc>
        <w:tc>
          <w:tcPr>
            <w:tcW w:w="1673"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125</w:t>
            </w:r>
          </w:p>
        </w:tc>
        <w:tc>
          <w:tcPr>
            <w:tcW w:w="292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3450" w:type="dxa"/>
            <w:tcBorders/>
          </w:tcPr>
          <w:p>
            <w:pPr>
              <w:pStyle w:val="Normal"/>
              <w:widowControl/>
              <w:spacing w:lineRule="auto" w:line="240" w:before="0" w:after="0"/>
              <w:jc w:val="left"/>
              <w:rPr>
                <w:b/>
                <w:b/>
                <w:bCs/>
              </w:rPr>
            </w:pPr>
            <w:r>
              <w:rPr>
                <w:rFonts w:eastAsia="Calibri" w:cs=""/>
                <w:b/>
                <w:kern w:val="0"/>
                <w:sz w:val="22"/>
                <w:szCs w:val="22"/>
                <w:lang w:val="it-IT" w:eastAsia="en-US" w:bidi="ar-SA"/>
              </w:rPr>
              <w:t>11. Penali e premi di accelerazione</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bCs/>
                <w:kern w:val="0"/>
                <w:sz w:val="22"/>
                <w:szCs w:val="22"/>
                <w:lang w:val="it-IT" w:eastAsia="en-US" w:bidi="ar-SA"/>
              </w:rPr>
              <w:t>11.1. Sono state eventualmente previste e correttamente applicate penali e premi di accelerazione?</w:t>
            </w:r>
          </w:p>
        </w:tc>
        <w:tc>
          <w:tcPr>
            <w:tcW w:w="1673"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126</w:t>
            </w:r>
          </w:p>
        </w:tc>
        <w:tc>
          <w:tcPr>
            <w:tcW w:w="292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55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97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bl>
    <w:p>
      <w:pPr>
        <w:pStyle w:val="Normal"/>
        <w:widowControl/>
        <w:bidi w:val="0"/>
        <w:spacing w:lineRule="auto" w:line="276" w:before="0" w:after="200"/>
        <w:jc w:val="left"/>
        <w:rPr/>
      </w:pPr>
      <w:r>
        <w:rPr/>
      </w:r>
    </w:p>
    <w:sectPr>
      <w:headerReference w:type="default" r:id="rId2"/>
      <w:footerReference w:type="default" r:id="rId3"/>
      <w:type w:val="nextPage"/>
      <w:pgSz w:orient="landscape" w:w="16838" w:h="11906"/>
      <w:pgMar w:left="1134" w:right="1417" w:header="708" w:top="1134" w:footer="708"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1458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108"/>
      <w:gridCol w:w="3009"/>
      <w:gridCol w:w="1433"/>
      <w:gridCol w:w="2081"/>
      <w:gridCol w:w="2358"/>
      <w:gridCol w:w="4597"/>
    </w:tblGrid>
    <w:tr>
      <w:trPr>
        <w:trHeight w:val="278" w:hRule="atLeast"/>
      </w:trPr>
      <w:tc>
        <w:tcPr>
          <w:tcW w:w="110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Arial" w:hAnsi="Arial" w:cs="Tahoma"/>
              <w:sz w:val="20"/>
            </w:rPr>
          </w:pPr>
          <w:r>
            <w:rPr>
              <w:rFonts w:cs="Tahoma" w:ascii="Arial" w:hAnsi="Arial"/>
              <w:sz w:val="20"/>
            </w:rPr>
            <w:t>Ente</w:t>
          </w:r>
        </w:p>
      </w:tc>
      <w:tc>
        <w:tcPr>
          <w:tcW w:w="30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Arial" w:hAnsi="Arial" w:cs="Tahoma"/>
              <w:sz w:val="20"/>
            </w:rPr>
          </w:pPr>
          <w:r>
            <w:rPr>
              <w:rFonts w:cs="Tahoma" w:ascii="Arial" w:hAnsi="Arial"/>
              <w:sz w:val="20"/>
            </w:rPr>
          </w:r>
        </w:p>
      </w:tc>
      <w:tc>
        <w:tcPr>
          <w:tcW w:w="143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Arial" w:hAnsi="Arial" w:cs="Tahoma"/>
              <w:sz w:val="20"/>
            </w:rPr>
          </w:pPr>
          <w:r>
            <w:rPr>
              <w:rFonts w:cs="Tahoma" w:ascii="Arial" w:hAnsi="Arial"/>
              <w:sz w:val="20"/>
            </w:rPr>
            <w:t>Luogo e data</w:t>
          </w:r>
        </w:p>
      </w:tc>
      <w:tc>
        <w:tcPr>
          <w:tcW w:w="208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Arial" w:hAnsi="Arial" w:cs="Tahoma"/>
              <w:sz w:val="20"/>
            </w:rPr>
          </w:pPr>
          <w:r>
            <w:rPr>
              <w:rFonts w:cs="Tahoma" w:ascii="Arial" w:hAnsi="Arial"/>
              <w:sz w:val="20"/>
            </w:rPr>
          </w:r>
        </w:p>
      </w:tc>
      <w:tc>
        <w:tcPr>
          <w:tcW w:w="23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rPr>
              <w:rFonts w:ascii="Arial" w:hAnsi="Arial" w:cs="Tahoma"/>
              <w:sz w:val="20"/>
            </w:rPr>
          </w:pPr>
          <w:r>
            <w:rPr>
              <w:rFonts w:cs="Tahoma" w:ascii="Arial" w:hAnsi="Arial"/>
              <w:sz w:val="20"/>
            </w:rPr>
            <w:t>Referente beneficiario/</w:t>
          </w:r>
        </w:p>
        <w:p>
          <w:pPr>
            <w:pStyle w:val="Normal"/>
            <w:widowControl w:val="false"/>
            <w:spacing w:before="0" w:after="0"/>
            <w:rPr>
              <w:rFonts w:ascii="Arial" w:hAnsi="Arial" w:cs="Tahoma"/>
              <w:sz w:val="20"/>
            </w:rPr>
          </w:pPr>
          <w:r>
            <w:rPr>
              <w:rFonts w:cs="Tahoma" w:ascii="Arial" w:hAnsi="Arial"/>
              <w:sz w:val="20"/>
            </w:rPr>
            <w:t>Incaricato del Controllo</w:t>
          </w:r>
        </w:p>
      </w:tc>
      <w:tc>
        <w:tcPr>
          <w:tcW w:w="459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Arial" w:hAnsi="Arial" w:cs="Tahoma"/>
              <w:sz w:val="20"/>
            </w:rPr>
          </w:pPr>
          <w:r>
            <w:rPr>
              <w:rFonts w:cs="Tahoma" w:ascii="Arial" w:hAnsi="Arial"/>
              <w:sz w:val="20"/>
            </w:rPr>
          </w:r>
        </w:p>
      </w:tc>
    </w:tr>
  </w:tbl>
  <w:p>
    <w:pPr>
      <w:pStyle w:val="Pidipa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1455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389"/>
      <w:gridCol w:w="3460"/>
      <w:gridCol w:w="2261"/>
      <w:gridCol w:w="1532"/>
      <w:gridCol w:w="1975"/>
      <w:gridCol w:w="3932"/>
    </w:tblGrid>
    <w:tr>
      <w:trPr>
        <w:trHeight w:val="412" w:hRule="atLeast"/>
      </w:trPr>
      <w:tc>
        <w:tcPr>
          <w:tcW w:w="14549"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Arial" w:hAnsi="Arial" w:cs="Tahoma"/>
              <w:sz w:val="20"/>
            </w:rPr>
          </w:pPr>
          <w:r>
            <w:rPr>
              <w:rFonts w:cs="Tahoma" w:ascii="Arial" w:hAnsi="Arial"/>
              <w:b/>
              <w:bCs/>
              <w:sz w:val="20"/>
            </w:rPr>
            <w:t>CHECK LIST PER LE PROCEDURE DI GARA PER APPALTI PUBBLICI DI LAVORI, SERVIZI E FORNITURE</w:t>
          </w:r>
          <w:r>
            <w:rPr>
              <w:rFonts w:cs="Tahoma" w:ascii="Arial" w:hAnsi="Arial"/>
              <w:sz w:val="20"/>
            </w:rPr>
            <w:t xml:space="preserve"> (D.Lgs. 31 marzo 2023, n. 36 e s.m.i.)</w:t>
          </w:r>
        </w:p>
        <w:p>
          <w:pPr>
            <w:pStyle w:val="Normal"/>
            <w:widowControl w:val="false"/>
            <w:spacing w:before="0" w:after="200"/>
            <w:rPr>
              <w:rFonts w:ascii="Arial" w:hAnsi="Arial" w:cs="Tahoma"/>
              <w:sz w:val="20"/>
            </w:rPr>
          </w:pPr>
          <w:r>
            <w:rPr>
              <w:rFonts w:cs="Tahoma" w:ascii="Arial" w:hAnsi="Arial"/>
              <w:sz w:val="20"/>
            </w:rPr>
            <w:t>Fase: AUTOVALUTAZIONE / CONTROLLO                                                                                                                           vers. 3.1</w:t>
          </w:r>
        </w:p>
      </w:tc>
    </w:tr>
    <w:tr>
      <w:trPr>
        <w:trHeight w:val="412" w:hRule="atLeast"/>
      </w:trPr>
      <w:tc>
        <w:tcPr>
          <w:tcW w:w="138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rPr>
              <w:rFonts w:ascii="Arial" w:hAnsi="Arial" w:cs="Tahoma"/>
              <w:sz w:val="20"/>
              <w:szCs w:val="22"/>
              <w:shd w:fill="auto" w:val="clear"/>
            </w:rPr>
          </w:pPr>
          <w:r>
            <w:rPr>
              <w:rFonts w:cs="Tahoma" w:ascii="Arial" w:hAnsi="Arial"/>
              <w:sz w:val="20"/>
              <w:szCs w:val="22"/>
              <w:shd w:fill="auto" w:val="clear"/>
            </w:rPr>
            <w:t>Programma</w:t>
          </w:r>
        </w:p>
      </w:tc>
      <w:tc>
        <w:tcPr>
          <w:tcW w:w="346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rPr>
              <w:rFonts w:ascii="Arial" w:hAnsi="Arial" w:cs="Tahoma"/>
              <w:sz w:val="20"/>
              <w:shd w:fill="auto" w:val="clear"/>
            </w:rPr>
          </w:pPr>
          <w:r>
            <w:rPr>
              <w:rFonts w:eastAsia="Cambria" w:cs="Tahoma" w:ascii="Arial" w:hAnsi="Arial"/>
              <w:color w:val="000000"/>
              <w:sz w:val="20"/>
              <w:szCs w:val="24"/>
              <w:shd w:fill="auto" w:val="clear"/>
              <w:lang w:val="it-IT" w:bidi="ar-SA"/>
            </w:rPr>
            <w:t>CSR 23-27</w:t>
          </w:r>
          <w:r>
            <w:rPr>
              <w:rFonts w:cs="Tahoma" w:ascii="Arial" w:hAnsi="Arial"/>
              <w:sz w:val="20"/>
              <w:shd w:fill="auto" w:val="clear"/>
            </w:rPr>
            <w:t xml:space="preserve"> / </w:t>
          </w:r>
          <w:r>
            <w:rPr>
              <w:rFonts w:eastAsia="Cambria" w:cs="Tahoma" w:ascii="Arial" w:hAnsi="Arial"/>
              <w:color w:val="000000"/>
              <w:sz w:val="20"/>
              <w:szCs w:val="24"/>
              <w:shd w:fill="auto" w:val="clear"/>
              <w:lang w:val="it-IT" w:bidi="ar-SA"/>
            </w:rPr>
            <w:t>PSR 14-22</w:t>
          </w:r>
          <w:r>
            <w:rPr>
              <w:rFonts w:cs="Tahoma" w:ascii="Arial" w:hAnsi="Arial"/>
              <w:sz w:val="20"/>
              <w:shd w:fill="auto" w:val="clear"/>
            </w:rPr>
            <w:t xml:space="preserve"> Regione Piemonte</w:t>
          </w:r>
        </w:p>
      </w:tc>
      <w:tc>
        <w:tcPr>
          <w:tcW w:w="226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120"/>
            <w:ind w:left="170" w:hanging="0"/>
            <w:rPr>
              <w:rFonts w:ascii="Arial" w:hAnsi="Arial" w:cs="Arial"/>
              <w:sz w:val="18"/>
              <w:szCs w:val="18"/>
              <w:shd w:fill="auto" w:val="clear"/>
            </w:rPr>
          </w:pPr>
          <w:r>
            <w:rPr>
              <w:rFonts w:cs="Tahoma" w:ascii="Arial" w:hAnsi="Arial"/>
              <w:sz w:val="20"/>
              <w:szCs w:val="22"/>
              <w:shd w:fill="auto" w:val="clear"/>
            </w:rPr>
            <w:t xml:space="preserve">Intervento </w:t>
          </w:r>
          <w:r>
            <w:rPr>
              <w:rFonts w:cs="Tahoma" w:ascii="Arial" w:hAnsi="Arial"/>
              <w:sz w:val="20"/>
              <w:szCs w:val="22"/>
              <w:shd w:fill="auto" w:val="clear"/>
            </w:rPr>
            <w:t xml:space="preserve">o </w:t>
          </w:r>
          <w:r>
            <w:rPr>
              <w:rFonts w:cs="Tahoma" w:ascii="Arial" w:hAnsi="Arial"/>
              <w:sz w:val="20"/>
              <w:szCs w:val="22"/>
              <w:shd w:fill="auto" w:val="clear"/>
            </w:rPr>
            <w:t>Misura/Sottomisura/</w:t>
          </w:r>
          <w:r>
            <w:rPr>
              <w:rFonts w:cs="Tahoma" w:ascii="Arial" w:hAnsi="Arial"/>
              <w:sz w:val="20"/>
              <w:szCs w:val="22"/>
              <w:shd w:fill="auto" w:val="clear"/>
            </w:rPr>
            <w:t>Operazione</w:t>
          </w:r>
        </w:p>
      </w:tc>
      <w:tc>
        <w:tcPr>
          <w:tcW w:w="153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rPr>
              <w:rFonts w:ascii="Arial" w:hAnsi="Arial" w:cs="Tahoma"/>
              <w:sz w:val="20"/>
              <w:szCs w:val="22"/>
              <w:shd w:fill="auto" w:val="clear"/>
            </w:rPr>
          </w:pPr>
          <w:r>
            <w:rPr>
              <w:rFonts w:cs="Tahoma" w:ascii="Arial" w:hAnsi="Arial"/>
              <w:sz w:val="20"/>
              <w:szCs w:val="22"/>
              <w:shd w:fill="auto" w:val="clear"/>
            </w:rPr>
            <w:t>X</w:t>
          </w:r>
        </w:p>
      </w:tc>
      <w:tc>
        <w:tcPr>
          <w:tcW w:w="197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rPr>
              <w:rFonts w:ascii="Arial" w:hAnsi="Arial" w:cs="Tahoma"/>
              <w:sz w:val="20"/>
              <w:szCs w:val="22"/>
              <w:shd w:fill="auto" w:val="clear"/>
            </w:rPr>
          </w:pPr>
          <w:r>
            <w:rPr>
              <w:rFonts w:cs="Tahoma" w:ascii="Arial" w:hAnsi="Arial"/>
              <w:sz w:val="20"/>
              <w:szCs w:val="22"/>
              <w:shd w:fill="auto" w:val="clear"/>
            </w:rPr>
            <w:t>Descrizione procedura</w:t>
          </w:r>
        </w:p>
      </w:tc>
      <w:tc>
        <w:tcPr>
          <w:tcW w:w="3932"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spacing w:before="0" w:after="200"/>
            <w:rPr>
              <w:rFonts w:ascii="Arial" w:hAnsi="Arial" w:cs="Tahoma"/>
              <w:sz w:val="20"/>
              <w:szCs w:val="22"/>
              <w:shd w:fill="auto" w:val="clear"/>
            </w:rPr>
          </w:pPr>
          <w:r>
            <w:rPr>
              <w:rFonts w:cs="Tahoma" w:ascii="Arial" w:hAnsi="Arial"/>
              <w:sz w:val="20"/>
              <w:szCs w:val="22"/>
              <w:shd w:fill="auto" w:val="clear"/>
            </w:rPr>
          </w:r>
        </w:p>
      </w:tc>
    </w:tr>
    <w:tr>
      <w:trPr>
        <w:trHeight w:val="863" w:hRule="atLeast"/>
      </w:trPr>
      <w:tc>
        <w:tcPr>
          <w:tcW w:w="138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rPr>
              <w:rFonts w:ascii="Arial" w:hAnsi="Arial" w:cs="Tahoma"/>
              <w:sz w:val="20"/>
              <w:szCs w:val="22"/>
              <w:shd w:fill="auto" w:val="clear"/>
            </w:rPr>
          </w:pPr>
          <w:r>
            <w:rPr>
              <w:rFonts w:cs="Tahoma" w:ascii="Arial" w:hAnsi="Arial"/>
              <w:sz w:val="20"/>
              <w:szCs w:val="22"/>
              <w:shd w:fill="auto" w:val="clear"/>
            </w:rPr>
            <w:t>Beneficiario</w:t>
          </w:r>
        </w:p>
      </w:tc>
      <w:tc>
        <w:tcPr>
          <w:tcW w:w="346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rPr>
              <w:rFonts w:ascii="Arial" w:hAnsi="Arial"/>
              <w:sz w:val="20"/>
              <w:szCs w:val="22"/>
              <w:shd w:fill="auto" w:val="clear"/>
            </w:rPr>
          </w:pPr>
          <w:r>
            <w:rPr>
              <w:rFonts w:eastAsia="Arial" w:cs="Arial" w:ascii="Arial" w:hAnsi="Arial"/>
              <w:sz w:val="20"/>
              <w:szCs w:val="22"/>
              <w:shd w:fill="auto" w:val="clear"/>
            </w:rPr>
            <w:t xml:space="preserve"> </w:t>
          </w:r>
          <w:r>
            <w:rPr>
              <w:rFonts w:cs="Tahoma" w:ascii="Arial" w:hAnsi="Arial"/>
              <w:sz w:val="20"/>
              <w:szCs w:val="22"/>
              <w:shd w:fill="auto" w:val="clear"/>
            </w:rPr>
            <w:t>Beneficiario pubblico</w:t>
          </w:r>
        </w:p>
      </w:tc>
      <w:tc>
        <w:tcPr>
          <w:tcW w:w="226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rPr>
              <w:rFonts w:ascii="Arial" w:hAnsi="Arial" w:cs="Tahoma"/>
              <w:sz w:val="20"/>
              <w:szCs w:val="22"/>
              <w:shd w:fill="auto" w:val="clear"/>
            </w:rPr>
          </w:pPr>
          <w:r>
            <w:rPr>
              <w:rFonts w:cs="Tahoma" w:ascii="Arial" w:hAnsi="Arial"/>
              <w:sz w:val="20"/>
              <w:szCs w:val="22"/>
              <w:shd w:fill="auto" w:val="clear"/>
            </w:rPr>
            <w:t>n. d</w:t>
          </w:r>
          <w:r>
            <w:rPr>
              <w:rFonts w:cs="Tahoma" w:ascii="Arial" w:hAnsi="Arial"/>
              <w:sz w:val="20"/>
              <w:szCs w:val="22"/>
              <w:shd w:fill="auto" w:val="clear"/>
            </w:rPr>
            <w:t>omanda di sostegno</w:t>
          </w:r>
        </w:p>
      </w:tc>
      <w:tc>
        <w:tcPr>
          <w:tcW w:w="153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rPr>
              <w:rFonts w:ascii="Arial" w:hAnsi="Arial"/>
              <w:sz w:val="20"/>
              <w:szCs w:val="22"/>
              <w:shd w:fill="auto" w:val="clear"/>
            </w:rPr>
          </w:pPr>
          <w:r>
            <w:rPr>
              <w:rFonts w:eastAsia="Arial" w:cs="Arial" w:ascii="Arial" w:hAnsi="Arial"/>
              <w:sz w:val="20"/>
              <w:szCs w:val="22"/>
              <w:shd w:fill="auto" w:val="clear"/>
            </w:rPr>
            <w:t xml:space="preserve"> </w:t>
          </w:r>
          <w:r>
            <w:rPr>
              <w:rFonts w:cs="Tahoma" w:ascii="Arial" w:hAnsi="Arial"/>
              <w:sz w:val="20"/>
              <w:szCs w:val="22"/>
              <w:shd w:fill="auto" w:val="clear"/>
            </w:rPr>
            <w:t>000000000 del  /xx/xx/xxxx</w:t>
          </w:r>
        </w:p>
      </w:tc>
      <w:tc>
        <w:tcPr>
          <w:tcW w:w="197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rPr>
              <w:rFonts w:ascii="Arial" w:hAnsi="Arial" w:cs="Tahoma"/>
              <w:sz w:val="20"/>
              <w:szCs w:val="22"/>
              <w:shd w:fill="auto" w:val="clear"/>
            </w:rPr>
          </w:pPr>
          <w:r>
            <w:rPr>
              <w:rFonts w:cs="Tahoma" w:ascii="Arial" w:hAnsi="Arial"/>
              <w:sz w:val="20"/>
              <w:szCs w:val="22"/>
              <w:shd w:fill="auto" w:val="clear"/>
            </w:rPr>
            <w:t>n. d</w:t>
          </w:r>
          <w:r>
            <w:rPr>
              <w:rFonts w:cs="Tahoma" w:ascii="Arial" w:hAnsi="Arial"/>
              <w:sz w:val="20"/>
              <w:szCs w:val="22"/>
              <w:shd w:fill="auto" w:val="clear"/>
            </w:rPr>
            <w:t>omanda di pagamento</w:t>
          </w:r>
        </w:p>
      </w:tc>
      <w:tc>
        <w:tcPr>
          <w:tcW w:w="393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rPr>
              <w:rFonts w:ascii="Arial" w:hAnsi="Arial" w:cs="Tahoma"/>
              <w:sz w:val="20"/>
              <w:szCs w:val="22"/>
              <w:shd w:fill="auto" w:val="clear"/>
            </w:rPr>
          </w:pPr>
          <w:r>
            <w:rPr>
              <w:rFonts w:cs="Tahoma" w:ascii="Arial" w:hAnsi="Arial"/>
              <w:sz w:val="20"/>
              <w:szCs w:val="22"/>
              <w:shd w:fill="auto" w:val="clear"/>
            </w:rPr>
            <w:t>000000000 del  /xx/xx/xxxx</w:t>
          </w:r>
        </w:p>
      </w:tc>
    </w:tr>
  </w:tbl>
  <w:p>
    <w:pPr>
      <w:pStyle w:val="Intestazione"/>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character" w:styleId="DefaultParagraphFont" w:default="1">
    <w:name w:val="Default Paragraph Font"/>
    <w:uiPriority w:val="1"/>
    <w:semiHidden/>
    <w:unhideWhenUsed/>
    <w:qFormat/>
    <w:rPr/>
  </w:style>
  <w:style w:type="character" w:styleId="CollegamentoInternet">
    <w:name w:val="Collegamento Internet"/>
    <w:basedOn w:val="DefaultParagraphFont"/>
    <w:uiPriority w:val="99"/>
    <w:unhideWhenUsed/>
    <w:rsid w:val="00d25117"/>
    <w:rPr>
      <w:color w:val="0000FF" w:themeColor="hyperlink"/>
      <w:u w:val="single"/>
    </w:rPr>
  </w:style>
  <w:style w:type="character" w:styleId="IntestazioneCarattere" w:customStyle="1">
    <w:name w:val="Intestazione Carattere"/>
    <w:basedOn w:val="DefaultParagraphFont"/>
    <w:link w:val="Intestazione"/>
    <w:uiPriority w:val="99"/>
    <w:qFormat/>
    <w:rsid w:val="00ca41ca"/>
    <w:rPr/>
  </w:style>
  <w:style w:type="character" w:styleId="PidipaginaCarattere" w:customStyle="1">
    <w:name w:val="Piè di pagina Carattere"/>
    <w:basedOn w:val="DefaultParagraphFont"/>
    <w:link w:val="Pidipagina"/>
    <w:uiPriority w:val="99"/>
    <w:qFormat/>
    <w:rsid w:val="00ca41ca"/>
    <w:rPr/>
  </w:style>
  <w:style w:type="paragraph" w:styleId="Titolo">
    <w:name w:val="Titolo"/>
    <w:basedOn w:val="Normal"/>
    <w:next w:val="Corpodeltesto"/>
    <w:qFormat/>
    <w:pPr>
      <w:keepNext w:val="true"/>
      <w:spacing w:before="240" w:after="120"/>
    </w:pPr>
    <w:rPr>
      <w:rFonts w:ascii="Liberation Sans" w:hAnsi="Liberation Sans" w:eastAsia="Microsoft YaHei" w:cs="Mang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Mangal"/>
    </w:rPr>
  </w:style>
  <w:style w:type="paragraph" w:styleId="Didascalia">
    <w:name w:val="Caption"/>
    <w:basedOn w:val="Normal"/>
    <w:qFormat/>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ListParagraph">
    <w:name w:val="List Paragraph"/>
    <w:basedOn w:val="Normal"/>
    <w:uiPriority w:val="34"/>
    <w:qFormat/>
    <w:rsid w:val="008f6f6a"/>
    <w:pPr>
      <w:spacing w:before="0" w:after="200"/>
      <w:ind w:left="720" w:hanging="0"/>
      <w:contextualSpacing/>
    </w:pPr>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ca41ca"/>
    <w:pPr>
      <w:tabs>
        <w:tab w:val="clear" w:pos="708"/>
        <w:tab w:val="center" w:pos="4819" w:leader="none"/>
        <w:tab w:val="right" w:pos="9638" w:leader="none"/>
      </w:tabs>
      <w:spacing w:lineRule="auto" w:line="240" w:before="0" w:after="0"/>
    </w:pPr>
    <w:rPr/>
  </w:style>
  <w:style w:type="paragraph" w:styleId="Pidipagina">
    <w:name w:val="Footer"/>
    <w:basedOn w:val="Normal"/>
    <w:link w:val="PidipaginaCarattere"/>
    <w:uiPriority w:val="99"/>
    <w:unhideWhenUsed/>
    <w:rsid w:val="00ca41ca"/>
    <w:pPr>
      <w:tabs>
        <w:tab w:val="clear" w:pos="708"/>
        <w:tab w:val="center" w:pos="4819" w:leader="none"/>
        <w:tab w:val="right" w:pos="9638" w:leader="none"/>
      </w:tabs>
      <w:spacing w:lineRule="auto" w:line="240" w:before="0" w:after="0"/>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59"/>
    <w:rsid w:val="00b755a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Application>LibreOffice/7.0.4.2$Windows_X86_64 LibreOffice_project/dcf040e67528d9187c66b2379df5ea4407429775</Application>
  <AppVersion>15.0000</AppVersion>
  <Pages>21</Pages>
  <Words>1768</Words>
  <Characters>9901</Characters>
  <CharactersWithSpaces>11652</CharactersWithSpaces>
  <Paragraphs>148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2024-01-22T14:07:00Z</dcterms:created>
  <dc:creator/>
  <dc:description/>
  <dc:language>it-IT</dc:language>
  <cp:lastModifiedBy>Riccardo Garaffi</cp:lastModifiedBy>
  <dcterms:modified xsi:type="dcterms:W3CDTF">2024-04-19T09:50:56Z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file>