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37" w:rsidRDefault="00005C91"/>
    <w:p w:rsidR="00A21345" w:rsidRDefault="00A21345"/>
    <w:p w:rsidR="00A21345" w:rsidRDefault="00A21345"/>
    <w:p w:rsidR="00A21345" w:rsidRDefault="00A21345"/>
    <w:p w:rsidR="00050961" w:rsidRDefault="00050961"/>
    <w:p w:rsidR="00050961" w:rsidRDefault="00050961"/>
    <w:p w:rsidR="00050961" w:rsidRDefault="00050961"/>
    <w:p w:rsidR="00050961" w:rsidRDefault="00050961"/>
    <w:p w:rsidR="00A21345" w:rsidRDefault="00A21345"/>
    <w:p w:rsidR="00A21345" w:rsidRDefault="00A21345"/>
    <w:p w:rsidR="00A21345" w:rsidRDefault="00A21345"/>
    <w:p w:rsidR="00A21345" w:rsidRDefault="00A21345"/>
    <w:p w:rsidR="00A21345" w:rsidRPr="00A21345" w:rsidRDefault="00A21345">
      <w:pPr>
        <w:rPr>
          <w:color w:val="2F5496" w:themeColor="accent1" w:themeShade="BF"/>
        </w:rPr>
      </w:pPr>
      <w:r w:rsidRPr="00A21345">
        <w:rPr>
          <w:b/>
          <w:bCs/>
          <w:caps/>
          <w:color w:val="2F5496" w:themeColor="accent1" w:themeShade="BF"/>
          <w:kern w:val="32"/>
          <w:sz w:val="22"/>
          <w:szCs w:val="22"/>
        </w:rPr>
        <w:t xml:space="preserve">Istruzioni </w:t>
      </w:r>
      <w:r w:rsidRPr="00A21345">
        <w:rPr>
          <w:b/>
          <w:bCs/>
          <w:caps/>
          <w:color w:val="2F5496" w:themeColor="accent1" w:themeShade="BF"/>
          <w:kern w:val="32"/>
          <w:sz w:val="22"/>
          <w:szCs w:val="22"/>
        </w:rPr>
        <w:t xml:space="preserve">d’uso </w:t>
      </w:r>
      <w:r w:rsidRPr="00A21345">
        <w:rPr>
          <w:b/>
          <w:bCs/>
          <w:caps/>
          <w:color w:val="2F5496" w:themeColor="accent1" w:themeShade="BF"/>
          <w:kern w:val="32"/>
          <w:sz w:val="22"/>
          <w:szCs w:val="22"/>
        </w:rPr>
        <w:t>per la compilazione del foglio di lavoro in Excel</w:t>
      </w:r>
      <w:r w:rsidRPr="00A21345">
        <w:rPr>
          <w:b/>
          <w:bCs/>
          <w:caps/>
          <w:color w:val="2F5496" w:themeColor="accent1" w:themeShade="BF"/>
          <w:kern w:val="32"/>
          <w:sz w:val="22"/>
          <w:szCs w:val="22"/>
          <w:vertAlign w:val="superscript"/>
        </w:rPr>
        <w:t>®</w:t>
      </w:r>
    </w:p>
    <w:p w:rsidR="00A21345" w:rsidRDefault="00A21345"/>
    <w:p w:rsidR="00050961" w:rsidRDefault="00050961">
      <w:r>
        <w:br w:type="page"/>
      </w:r>
    </w:p>
    <w:p w:rsidR="00A21345" w:rsidRPr="00A21345" w:rsidRDefault="00A21345" w:rsidP="00A21345">
      <w:pPr>
        <w:pStyle w:val="Titolo1"/>
      </w:pPr>
      <w:bookmarkStart w:id="0" w:name="_Toc402192995"/>
      <w:r w:rsidRPr="00A21345">
        <w:lastRenderedPageBreak/>
        <w:t>Istruzioni per la compilazione del foglio di lavoro in Excel®</w:t>
      </w:r>
      <w:bookmarkEnd w:id="0"/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 xml:space="preserve">Di seguito si riportano le istruzioni per la compilazione del foglio di lavoro, declinate per tipologia di dato sensibile da inserire. Per facilitare la comprensione per ogni item è riportata una figura che rappresenta, in alcuni casi solo parzialmente, le celle del foglio di lavoro dove vanno inseriti i dati sensibili. </w:t>
      </w:r>
      <w:r w:rsidRPr="00A21345">
        <w:rPr>
          <w:rFonts w:ascii="Arial" w:hAnsi="Arial" w:cs="Arial"/>
          <w:b/>
          <w:i/>
          <w:sz w:val="22"/>
          <w:szCs w:val="22"/>
        </w:rPr>
        <w:t>I dati sensibili vanno inseriti esclusivamente nelle celle bordate di rosso</w:t>
      </w:r>
      <w:r w:rsidRPr="00A21345">
        <w:rPr>
          <w:rFonts w:ascii="Arial" w:hAnsi="Arial" w:cs="Arial"/>
          <w:sz w:val="22"/>
          <w:szCs w:val="22"/>
        </w:rPr>
        <w:t>.</w:t>
      </w:r>
    </w:p>
    <w:p w:rsidR="00A21345" w:rsidRPr="00A21345" w:rsidRDefault="00A21345" w:rsidP="00A21345">
      <w:pPr>
        <w:pStyle w:val="Titolo2"/>
      </w:pPr>
      <w:bookmarkStart w:id="1" w:name="_Toc402192996"/>
      <w:r>
        <w:t>1</w:t>
      </w:r>
      <w:r w:rsidRPr="00A21345">
        <w:tab/>
        <w:t>Inserimento dei flussi delle entrate</w:t>
      </w:r>
      <w:bookmarkEnd w:id="1"/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Nella figura che segue è riportata parzialmente la parte del foglio di lavoro dove vanno inseriti i dati relativi alla serie annuale di ricavi che danno luogo ad entrate. Nella riga superiore, in nero, nella prima e seconda colonna sono riportate le descrizioni di colonna</w:t>
      </w:r>
      <w:r w:rsidR="00050961">
        <w:rPr>
          <w:rFonts w:ascii="Arial" w:hAnsi="Arial" w:cs="Arial"/>
          <w:sz w:val="22"/>
          <w:szCs w:val="22"/>
        </w:rPr>
        <w:t xml:space="preserve"> e il totale di periodo</w:t>
      </w:r>
      <w:r w:rsidR="00024897" w:rsidRPr="00024897">
        <w:rPr>
          <w:rFonts w:ascii="Arial" w:hAnsi="Arial" w:cs="Arial"/>
          <w:sz w:val="22"/>
          <w:szCs w:val="22"/>
        </w:rPr>
        <w:t xml:space="preserve"> che, in virtù delle formule inserite, si generano automaticamente man mano che vengono inseriti i dati sensibili</w:t>
      </w:r>
      <w:r w:rsidRPr="00A21345">
        <w:rPr>
          <w:rFonts w:ascii="Arial" w:hAnsi="Arial" w:cs="Arial"/>
          <w:sz w:val="22"/>
          <w:szCs w:val="22"/>
        </w:rPr>
        <w:t>, dalla terza colonna in poi sono riportati gli anni di riferimento che rappresentano un dato fisso.</w:t>
      </w:r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Nella riga sottostante, la prima colonna contiene la descrizione di riga che è un dato fisso, nella seconda colonna è riportata la formula per il calcolo del totale di periodo che si auto genera man mano che vengono inseriti i dati relativi ai ricavi, in questa cella non va inserito nulla.</w:t>
      </w:r>
    </w:p>
    <w:p w:rsidR="00A21345" w:rsidRPr="00050961" w:rsidRDefault="00A21345" w:rsidP="00A21345">
      <w:pPr>
        <w:spacing w:before="0" w:after="12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A partire dalla terza colonna le caselle sono bordate di rosso, in queste celle, rispettando gli anni di riferimento dell’entrata, vanno inseriti gli importi relativi a</w:t>
      </w:r>
      <w:r w:rsidR="00024897">
        <w:rPr>
          <w:rFonts w:ascii="Arial" w:hAnsi="Arial" w:cs="Arial"/>
          <w:sz w:val="22"/>
          <w:szCs w:val="22"/>
        </w:rPr>
        <w:t>i</w:t>
      </w:r>
      <w:r w:rsidRPr="00A21345">
        <w:rPr>
          <w:rFonts w:ascii="Arial" w:hAnsi="Arial" w:cs="Arial"/>
          <w:sz w:val="22"/>
          <w:szCs w:val="22"/>
        </w:rPr>
        <w:t xml:space="preserve"> ricavi</w:t>
      </w:r>
      <w:r w:rsidR="00050961" w:rsidRPr="00050961">
        <w:rPr>
          <w:rFonts w:ascii="Arial" w:hAnsi="Arial" w:cs="Arial"/>
          <w:sz w:val="22"/>
          <w:szCs w:val="22"/>
        </w:rPr>
        <w:t xml:space="preserve"> indicati per tipologia</w:t>
      </w:r>
      <w:r w:rsidRPr="00A21345">
        <w:rPr>
          <w:rFonts w:ascii="Arial" w:hAnsi="Arial" w:cs="Arial"/>
          <w:sz w:val="22"/>
          <w:szCs w:val="22"/>
        </w:rPr>
        <w:t>.</w:t>
      </w:r>
    </w:p>
    <w:tbl>
      <w:tblPr>
        <w:tblW w:w="9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247"/>
        <w:gridCol w:w="1134"/>
        <w:gridCol w:w="1134"/>
        <w:gridCol w:w="1134"/>
        <w:gridCol w:w="1134"/>
        <w:gridCol w:w="1134"/>
        <w:gridCol w:w="1134"/>
      </w:tblGrid>
      <w:tr w:rsidR="00050961" w:rsidRPr="00C44447" w:rsidTr="00050961">
        <w:trPr>
          <w:trHeight w:val="25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2" w:name="_Hlk478738687"/>
            <w:r w:rsidRPr="00C444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Entrate/Ricavi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totale periodo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</w:tr>
      <w:bookmarkEnd w:id="2"/>
      <w:tr w:rsidR="00050961" w:rsidRPr="00C44447" w:rsidTr="00050961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13.380.155,06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404.000,00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408.040,00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412.120,40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416.241,60</w:t>
            </w:r>
          </w:p>
        </w:tc>
      </w:tr>
      <w:tr w:rsidR="00050961" w:rsidRPr="00C44447" w:rsidTr="00050961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447">
              <w:rPr>
                <w:rFonts w:ascii="Arial" w:hAnsi="Arial" w:cs="Arial"/>
                <w:sz w:val="16"/>
                <w:szCs w:val="16"/>
              </w:rPr>
              <w:t>Ricavo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11.707.635,68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350.000,00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353.500,00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357.035,00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360.605,35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364.211,40</w:t>
            </w:r>
          </w:p>
        </w:tc>
      </w:tr>
      <w:tr w:rsidR="00050961" w:rsidRPr="00C44447" w:rsidTr="00050961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447">
              <w:rPr>
                <w:rFonts w:ascii="Arial" w:hAnsi="Arial" w:cs="Arial"/>
                <w:sz w:val="16"/>
                <w:szCs w:val="16"/>
              </w:rPr>
              <w:t>Ricavo 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1.672.519,38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50.500,00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51.005,00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51.515,05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52.030,20</w:t>
            </w:r>
          </w:p>
        </w:tc>
      </w:tr>
      <w:tr w:rsidR="00050961" w:rsidRPr="00C44447" w:rsidTr="00050961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447">
              <w:rPr>
                <w:rFonts w:ascii="Arial" w:hAnsi="Arial" w:cs="Arial"/>
                <w:sz w:val="16"/>
                <w:szCs w:val="16"/>
              </w:rPr>
              <w:t>Ricavo 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050961" w:rsidRPr="00C44447" w:rsidTr="00050961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4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050961" w:rsidRPr="00C44447" w:rsidTr="00050961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447">
              <w:rPr>
                <w:rFonts w:ascii="Arial" w:hAnsi="Arial" w:cs="Arial"/>
                <w:sz w:val="16"/>
                <w:szCs w:val="16"/>
              </w:rPr>
              <w:t>Ricavo n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44447" w:rsidRPr="00C44447" w:rsidRDefault="00C44447" w:rsidP="00C4444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44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</w:tbl>
    <w:p w:rsidR="00A21345" w:rsidRPr="00A21345" w:rsidRDefault="00A21345" w:rsidP="00A21345">
      <w:pPr>
        <w:spacing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L'ammontare dei ricavi, come già illustrato, deriva da dati di quantità erogate e dai livelli tariffari stimati.</w:t>
      </w:r>
    </w:p>
    <w:p w:rsidR="00A21345" w:rsidRPr="00A21345" w:rsidRDefault="00A21345" w:rsidP="00A21345">
      <w:pPr>
        <w:pStyle w:val="Titolo2"/>
      </w:pPr>
      <w:bookmarkStart w:id="3" w:name="_Toc402192997"/>
      <w:r w:rsidRPr="00A21345">
        <w:t>2</w:t>
      </w:r>
      <w:r w:rsidRPr="00A21345">
        <w:tab/>
        <w:t>Inserimento dei flussi delle uscite</w:t>
      </w:r>
      <w:bookmarkEnd w:id="3"/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 xml:space="preserve">Nella figura che segue è riportata parzialmente la parte del foglio di lavoro dove vanno inseriti i dati relativi alla serie annuale di costi che danno luogo ad uscite. Nella riga superiore, in nero, nella prima colonna sono riportate le descrizioni di colonna, </w:t>
      </w:r>
      <w:r w:rsidR="00050961">
        <w:rPr>
          <w:rFonts w:ascii="Arial" w:hAnsi="Arial" w:cs="Arial"/>
          <w:sz w:val="22"/>
          <w:szCs w:val="22"/>
        </w:rPr>
        <w:t xml:space="preserve">nella seconda il totale del periodo e </w:t>
      </w:r>
      <w:r w:rsidRPr="00A21345">
        <w:rPr>
          <w:rFonts w:ascii="Arial" w:hAnsi="Arial" w:cs="Arial"/>
          <w:sz w:val="22"/>
          <w:szCs w:val="22"/>
        </w:rPr>
        <w:t>dalla terza colonna in poi sono riportati gli anni di riferimento che rappresentano un dato fisso. Nell</w:t>
      </w:r>
      <w:r w:rsidR="00024897">
        <w:rPr>
          <w:rFonts w:ascii="Arial" w:hAnsi="Arial" w:cs="Arial"/>
          <w:sz w:val="22"/>
          <w:szCs w:val="22"/>
        </w:rPr>
        <w:t>a</w:t>
      </w:r>
      <w:r w:rsidRPr="00A21345">
        <w:rPr>
          <w:rFonts w:ascii="Arial" w:hAnsi="Arial" w:cs="Arial"/>
          <w:sz w:val="22"/>
          <w:szCs w:val="22"/>
        </w:rPr>
        <w:t xml:space="preserve"> rig</w:t>
      </w:r>
      <w:r w:rsidR="00024897">
        <w:rPr>
          <w:rFonts w:ascii="Arial" w:hAnsi="Arial" w:cs="Arial"/>
          <w:sz w:val="22"/>
          <w:szCs w:val="22"/>
        </w:rPr>
        <w:t>a sottostante, nella</w:t>
      </w:r>
      <w:r w:rsidRPr="00A21345">
        <w:rPr>
          <w:rFonts w:ascii="Arial" w:hAnsi="Arial" w:cs="Arial"/>
          <w:sz w:val="22"/>
          <w:szCs w:val="22"/>
        </w:rPr>
        <w:t xml:space="preserve"> prima colonna sono riportate le descrizioni di riga, </w:t>
      </w:r>
      <w:r w:rsidR="00024897">
        <w:rPr>
          <w:rFonts w:ascii="Arial" w:hAnsi="Arial" w:cs="Arial"/>
          <w:sz w:val="22"/>
          <w:szCs w:val="22"/>
        </w:rPr>
        <w:t>n</w:t>
      </w:r>
      <w:r w:rsidRPr="00A21345">
        <w:rPr>
          <w:rFonts w:ascii="Arial" w:hAnsi="Arial" w:cs="Arial"/>
          <w:sz w:val="22"/>
          <w:szCs w:val="22"/>
        </w:rPr>
        <w:t xml:space="preserve">ella seconda colonna sono riportati i valori totali </w:t>
      </w:r>
      <w:r w:rsidR="00024897">
        <w:rPr>
          <w:rFonts w:ascii="Arial" w:hAnsi="Arial" w:cs="Arial"/>
          <w:sz w:val="22"/>
          <w:szCs w:val="22"/>
        </w:rPr>
        <w:t xml:space="preserve">di periodo </w:t>
      </w:r>
      <w:r w:rsidRPr="00A21345">
        <w:rPr>
          <w:rFonts w:ascii="Arial" w:hAnsi="Arial" w:cs="Arial"/>
          <w:sz w:val="22"/>
          <w:szCs w:val="22"/>
        </w:rPr>
        <w:t>che, in virtù delle formule inserite, si generano automaticamente man mano che vengono inseriti i dati sensibili.</w:t>
      </w:r>
    </w:p>
    <w:p w:rsidR="00024897" w:rsidRPr="00A21345" w:rsidRDefault="00A21345" w:rsidP="009E18CB">
      <w:pPr>
        <w:spacing w:before="0" w:after="12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A partire dalla terza colonna le celle sono bordate di rosso</w:t>
      </w:r>
      <w:r w:rsidR="00024897">
        <w:rPr>
          <w:rFonts w:ascii="Arial" w:hAnsi="Arial" w:cs="Arial"/>
          <w:sz w:val="22"/>
          <w:szCs w:val="22"/>
        </w:rPr>
        <w:t>,</w:t>
      </w:r>
      <w:r w:rsidRPr="00A21345">
        <w:rPr>
          <w:rFonts w:ascii="Arial" w:hAnsi="Arial" w:cs="Arial"/>
          <w:sz w:val="22"/>
          <w:szCs w:val="22"/>
        </w:rPr>
        <w:t xml:space="preserve"> perché sono le celle destinate ad accogliere i dati sensibili, corrispondenti a ciascun anno di riferimento</w:t>
      </w:r>
      <w:r w:rsidR="00024897">
        <w:rPr>
          <w:rFonts w:ascii="Arial" w:hAnsi="Arial" w:cs="Arial"/>
          <w:sz w:val="22"/>
          <w:szCs w:val="22"/>
        </w:rPr>
        <w:t>,</w:t>
      </w:r>
      <w:r w:rsidRPr="00A21345">
        <w:rPr>
          <w:rFonts w:ascii="Arial" w:hAnsi="Arial" w:cs="Arial"/>
          <w:sz w:val="22"/>
          <w:szCs w:val="22"/>
        </w:rPr>
        <w:t xml:space="preserve"> relativi alle uscite per sostenere il costo dell’investimento</w:t>
      </w:r>
      <w:r w:rsidR="00024897">
        <w:rPr>
          <w:rFonts w:ascii="Arial" w:hAnsi="Arial" w:cs="Arial"/>
          <w:sz w:val="22"/>
          <w:szCs w:val="22"/>
        </w:rPr>
        <w:t>, indicate per tipologia</w:t>
      </w:r>
      <w:r w:rsidRPr="00A21345">
        <w:rPr>
          <w:rFonts w:ascii="Arial" w:hAnsi="Arial" w:cs="Arial"/>
          <w:sz w:val="22"/>
          <w:szCs w:val="22"/>
        </w:rPr>
        <w:t>.</w:t>
      </w:r>
    </w:p>
    <w:tbl>
      <w:tblPr>
        <w:tblW w:w="9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247"/>
        <w:gridCol w:w="1134"/>
        <w:gridCol w:w="1134"/>
        <w:gridCol w:w="1134"/>
        <w:gridCol w:w="1134"/>
        <w:gridCol w:w="1134"/>
        <w:gridCol w:w="1134"/>
      </w:tblGrid>
      <w:tr w:rsidR="00024897" w:rsidRPr="00C44447" w:rsidTr="0068530E">
        <w:trPr>
          <w:trHeight w:val="25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Uscite</w:t>
            </w:r>
            <w:r w:rsidRPr="00C444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</w:t>
            </w:r>
            <w:r w:rsidRPr="00C444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totale periodo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897" w:rsidRPr="00C44447" w:rsidRDefault="00024897" w:rsidP="0068530E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447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</w:tr>
      <w:tr w:rsidR="00024897" w:rsidRPr="00024897" w:rsidTr="00024897">
        <w:trPr>
          <w:trHeight w:val="61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Costi di esercizio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12.711.147,31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380.000,00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383.800,00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387.638,00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391.514,38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97">
              <w:rPr>
                <w:rFonts w:ascii="Arial" w:hAnsi="Arial" w:cs="Arial"/>
                <w:b/>
                <w:bCs/>
                <w:sz w:val="16"/>
                <w:szCs w:val="16"/>
              </w:rPr>
              <w:t>395.429,52</w:t>
            </w:r>
          </w:p>
        </w:tc>
      </w:tr>
      <w:tr w:rsidR="00024897" w:rsidRPr="00024897" w:rsidTr="00024897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24897">
              <w:rPr>
                <w:rFonts w:ascii="Arial" w:hAnsi="Arial" w:cs="Arial"/>
                <w:sz w:val="16"/>
                <w:szCs w:val="16"/>
              </w:rPr>
              <w:t>Costo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10.035.116,30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300.000,00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303.000,00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306.030,00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309.090,30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312.181,20</w:t>
            </w:r>
          </w:p>
        </w:tc>
      </w:tr>
      <w:tr w:rsidR="00024897" w:rsidRPr="00024897" w:rsidTr="00024897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24897">
              <w:rPr>
                <w:rFonts w:ascii="Arial" w:hAnsi="Arial" w:cs="Arial"/>
                <w:sz w:val="16"/>
                <w:szCs w:val="16"/>
              </w:rPr>
              <w:t>Costo 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2.676.031,01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80.800,00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81.608,00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82.424,08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83.248,32</w:t>
            </w:r>
          </w:p>
        </w:tc>
      </w:tr>
      <w:tr w:rsidR="00024897" w:rsidRPr="00024897" w:rsidTr="00024897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24897">
              <w:rPr>
                <w:rFonts w:ascii="Arial" w:hAnsi="Arial" w:cs="Arial"/>
                <w:sz w:val="16"/>
                <w:szCs w:val="16"/>
              </w:rPr>
              <w:t>Costo 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024897" w:rsidRPr="00024897" w:rsidTr="00024897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248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  <w:tr w:rsidR="00024897" w:rsidRPr="00024897" w:rsidTr="00024897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24897">
              <w:rPr>
                <w:rFonts w:ascii="Arial" w:hAnsi="Arial" w:cs="Arial"/>
                <w:sz w:val="16"/>
                <w:szCs w:val="16"/>
              </w:rPr>
              <w:t>Costo n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024897" w:rsidRPr="00024897" w:rsidRDefault="00024897" w:rsidP="00024897">
            <w:pPr>
              <w:spacing w:before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4897">
              <w:rPr>
                <w:rFonts w:ascii="Arial" w:hAnsi="Arial" w:cs="Arial"/>
                <w:i/>
                <w:iCs/>
                <w:sz w:val="16"/>
                <w:szCs w:val="16"/>
              </w:rPr>
              <w:t>0,00</w:t>
            </w:r>
          </w:p>
        </w:tc>
      </w:tr>
    </w:tbl>
    <w:p w:rsidR="00024897" w:rsidRDefault="00024897" w:rsidP="00A21345">
      <w:pPr>
        <w:spacing w:before="0" w:after="120" w:line="240" w:lineRule="auto"/>
        <w:rPr>
          <w:rFonts w:ascii="Arial" w:hAnsi="Arial" w:cs="Arial"/>
          <w:sz w:val="22"/>
          <w:szCs w:val="22"/>
        </w:rPr>
      </w:pPr>
    </w:p>
    <w:p w:rsidR="00024897" w:rsidRPr="00A21345" w:rsidRDefault="00024897" w:rsidP="00A21345">
      <w:pPr>
        <w:spacing w:before="0" w:after="120" w:line="240" w:lineRule="auto"/>
        <w:rPr>
          <w:rFonts w:ascii="Arial" w:hAnsi="Arial" w:cs="Arial"/>
          <w:sz w:val="22"/>
          <w:szCs w:val="22"/>
        </w:rPr>
      </w:pPr>
    </w:p>
    <w:p w:rsidR="00A21345" w:rsidRPr="00A21345" w:rsidRDefault="00A21345" w:rsidP="00A21345">
      <w:pPr>
        <w:pStyle w:val="Titolo2"/>
      </w:pPr>
      <w:bookmarkStart w:id="4" w:name="_Toc402192998"/>
      <w:r w:rsidRPr="00A21345">
        <w:lastRenderedPageBreak/>
        <w:t>3</w:t>
      </w:r>
      <w:r w:rsidRPr="00A21345">
        <w:tab/>
        <w:t>Entrate nette</w:t>
      </w:r>
      <w:bookmarkEnd w:id="4"/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La figura che segue è relativa a celle bordate di nero e pertanto non richiede l’inserimento di dati. In questa parte del foglio di lavoro sono riportate le entrate nette, cioè la differenza tra i valori delle due precedenti tabelle illustrate (entrate meno uscite).</w:t>
      </w:r>
    </w:p>
    <w:p w:rsidR="00A21345" w:rsidRPr="009E18CB" w:rsidRDefault="00A21345" w:rsidP="00A21345">
      <w:pPr>
        <w:spacing w:before="0" w:after="12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Nella seconda riga i dati rappresentano le entrate nette generate dalle attività di esercizio.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247"/>
        <w:gridCol w:w="964"/>
        <w:gridCol w:w="964"/>
        <w:gridCol w:w="964"/>
        <w:gridCol w:w="964"/>
        <w:gridCol w:w="964"/>
        <w:gridCol w:w="964"/>
      </w:tblGrid>
      <w:tr w:rsidR="009E18CB" w:rsidRPr="009E18CB" w:rsidTr="009E18CB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Entrate nette/Flussi di cassa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totale periodo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</w:tr>
      <w:tr w:rsidR="009E18CB" w:rsidRPr="009E18CB" w:rsidTr="009E18CB">
        <w:trPr>
          <w:trHeight w:val="6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Ricavi - Costi di esercizio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669.007,75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20.200,00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20.402,00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20.606,02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8CB">
              <w:rPr>
                <w:rFonts w:ascii="Arial" w:hAnsi="Arial" w:cs="Arial"/>
                <w:b/>
                <w:bCs/>
                <w:sz w:val="16"/>
                <w:szCs w:val="16"/>
              </w:rPr>
              <w:t>20.812,08</w:t>
            </w:r>
          </w:p>
        </w:tc>
      </w:tr>
    </w:tbl>
    <w:p w:rsidR="009E18CB" w:rsidRDefault="009E18CB" w:rsidP="00A21345">
      <w:pPr>
        <w:spacing w:before="0" w:after="120" w:line="240" w:lineRule="auto"/>
        <w:rPr>
          <w:color w:val="7030A0"/>
        </w:rPr>
      </w:pPr>
    </w:p>
    <w:p w:rsidR="00A21345" w:rsidRPr="00A21345" w:rsidRDefault="00A21345" w:rsidP="00A21345">
      <w:pPr>
        <w:pStyle w:val="Titolo2"/>
      </w:pPr>
      <w:bookmarkStart w:id="5" w:name="_Toc402192999"/>
      <w:r w:rsidRPr="00A21345">
        <w:t>4</w:t>
      </w:r>
      <w:r w:rsidRPr="00A21345">
        <w:tab/>
        <w:t>Inserimento dei parametri per il calcolo</w:t>
      </w:r>
      <w:bookmarkEnd w:id="5"/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 xml:space="preserve">I calcoli per la determinazione </w:t>
      </w:r>
      <w:r w:rsidR="0024433A">
        <w:rPr>
          <w:rFonts w:ascii="Arial" w:hAnsi="Arial" w:cs="Arial"/>
          <w:sz w:val="22"/>
          <w:szCs w:val="22"/>
        </w:rPr>
        <w:t xml:space="preserve">della spesa ammissibile e del relativo contributo erogabile </w:t>
      </w:r>
      <w:r w:rsidRPr="00A21345">
        <w:rPr>
          <w:rFonts w:ascii="Arial" w:hAnsi="Arial" w:cs="Arial"/>
          <w:sz w:val="22"/>
          <w:szCs w:val="22"/>
        </w:rPr>
        <w:t>comportano l’attualizzazione d</w:t>
      </w:r>
      <w:r w:rsidR="0024433A">
        <w:rPr>
          <w:rFonts w:ascii="Arial" w:hAnsi="Arial" w:cs="Arial"/>
          <w:sz w:val="22"/>
          <w:szCs w:val="22"/>
        </w:rPr>
        <w:t>e</w:t>
      </w:r>
      <w:r w:rsidRPr="00A21345">
        <w:rPr>
          <w:rFonts w:ascii="Arial" w:hAnsi="Arial" w:cs="Arial"/>
          <w:sz w:val="22"/>
          <w:szCs w:val="22"/>
        </w:rPr>
        <w:t>i flussi finanziari generati dall</w:t>
      </w:r>
      <w:r w:rsidR="0024433A">
        <w:rPr>
          <w:rFonts w:ascii="Arial" w:hAnsi="Arial" w:cs="Arial"/>
          <w:sz w:val="22"/>
          <w:szCs w:val="22"/>
        </w:rPr>
        <w:t>’operazione</w:t>
      </w:r>
      <w:r w:rsidRPr="00A21345">
        <w:rPr>
          <w:rFonts w:ascii="Arial" w:hAnsi="Arial" w:cs="Arial"/>
          <w:sz w:val="22"/>
          <w:szCs w:val="22"/>
        </w:rPr>
        <w:t>. A tal fine</w:t>
      </w:r>
      <w:r w:rsidR="0024433A">
        <w:rPr>
          <w:rFonts w:ascii="Arial" w:hAnsi="Arial" w:cs="Arial"/>
          <w:sz w:val="22"/>
          <w:szCs w:val="22"/>
        </w:rPr>
        <w:t>,</w:t>
      </w:r>
      <w:r w:rsidRPr="00A21345">
        <w:rPr>
          <w:rFonts w:ascii="Arial" w:hAnsi="Arial" w:cs="Arial"/>
          <w:sz w:val="22"/>
          <w:szCs w:val="22"/>
        </w:rPr>
        <w:t xml:space="preserve"> </w:t>
      </w:r>
      <w:r w:rsidR="0024433A">
        <w:rPr>
          <w:rFonts w:ascii="Arial" w:hAnsi="Arial" w:cs="Arial"/>
          <w:sz w:val="22"/>
          <w:szCs w:val="22"/>
        </w:rPr>
        <w:t xml:space="preserve">per calcolare la “spesa ammissibile” </w:t>
      </w:r>
      <w:r w:rsidRPr="00A21345">
        <w:rPr>
          <w:rFonts w:ascii="Arial" w:hAnsi="Arial" w:cs="Arial"/>
          <w:sz w:val="22"/>
          <w:szCs w:val="22"/>
        </w:rPr>
        <w:t>è necessario indicare alcuni parametri che sono indispensabili</w:t>
      </w:r>
      <w:r w:rsidR="0024433A">
        <w:rPr>
          <w:rFonts w:ascii="Arial" w:hAnsi="Arial" w:cs="Arial"/>
          <w:sz w:val="22"/>
          <w:szCs w:val="22"/>
        </w:rPr>
        <w:t>,</w:t>
      </w:r>
      <w:r w:rsidRPr="00A21345">
        <w:rPr>
          <w:rFonts w:ascii="Arial" w:hAnsi="Arial" w:cs="Arial"/>
          <w:sz w:val="22"/>
          <w:szCs w:val="22"/>
        </w:rPr>
        <w:t xml:space="preserve"> quali</w:t>
      </w:r>
      <w:r w:rsidR="0024433A">
        <w:rPr>
          <w:rFonts w:ascii="Arial" w:hAnsi="Arial" w:cs="Arial"/>
          <w:sz w:val="22"/>
          <w:szCs w:val="22"/>
        </w:rPr>
        <w:t>:</w:t>
      </w:r>
      <w:r w:rsidRPr="00A21345">
        <w:rPr>
          <w:rFonts w:ascii="Arial" w:hAnsi="Arial" w:cs="Arial"/>
          <w:sz w:val="22"/>
          <w:szCs w:val="22"/>
        </w:rPr>
        <w:t xml:space="preserve"> il “tasso di </w:t>
      </w:r>
      <w:r w:rsidR="0024433A">
        <w:rPr>
          <w:rFonts w:ascii="Arial" w:hAnsi="Arial" w:cs="Arial"/>
          <w:sz w:val="22"/>
          <w:szCs w:val="22"/>
        </w:rPr>
        <w:t>riferime</w:t>
      </w:r>
      <w:r w:rsidRPr="00A21345">
        <w:rPr>
          <w:rFonts w:ascii="Arial" w:hAnsi="Arial" w:cs="Arial"/>
          <w:sz w:val="22"/>
          <w:szCs w:val="22"/>
        </w:rPr>
        <w:t>nto”</w:t>
      </w:r>
      <w:r w:rsidR="0024433A">
        <w:rPr>
          <w:rFonts w:ascii="Arial" w:hAnsi="Arial" w:cs="Arial"/>
          <w:sz w:val="22"/>
          <w:szCs w:val="22"/>
        </w:rPr>
        <w:t>;</w:t>
      </w:r>
      <w:r w:rsidRPr="00A21345">
        <w:rPr>
          <w:rFonts w:ascii="Arial" w:hAnsi="Arial" w:cs="Arial"/>
          <w:sz w:val="22"/>
          <w:szCs w:val="22"/>
        </w:rPr>
        <w:t xml:space="preserve"> il “periodo di riferimento”</w:t>
      </w:r>
      <w:r w:rsidR="0024433A">
        <w:rPr>
          <w:rFonts w:ascii="Arial" w:hAnsi="Arial" w:cs="Arial"/>
          <w:sz w:val="22"/>
          <w:szCs w:val="22"/>
        </w:rPr>
        <w:t>;</w:t>
      </w:r>
      <w:r w:rsidRPr="00A21345">
        <w:rPr>
          <w:rFonts w:ascii="Arial" w:hAnsi="Arial" w:cs="Arial"/>
          <w:sz w:val="22"/>
          <w:szCs w:val="22"/>
        </w:rPr>
        <w:t xml:space="preserve"> il </w:t>
      </w:r>
      <w:r w:rsidR="0024433A">
        <w:rPr>
          <w:rFonts w:ascii="Arial" w:hAnsi="Arial" w:cs="Arial"/>
          <w:sz w:val="22"/>
          <w:szCs w:val="22"/>
        </w:rPr>
        <w:t>“</w:t>
      </w:r>
      <w:r w:rsidRPr="00A21345">
        <w:rPr>
          <w:rFonts w:ascii="Arial" w:hAnsi="Arial" w:cs="Arial"/>
          <w:sz w:val="22"/>
          <w:szCs w:val="22"/>
        </w:rPr>
        <w:t>valore residuale</w:t>
      </w:r>
      <w:r w:rsidR="0024433A">
        <w:rPr>
          <w:rFonts w:ascii="Arial" w:hAnsi="Arial" w:cs="Arial"/>
          <w:sz w:val="22"/>
          <w:szCs w:val="22"/>
        </w:rPr>
        <w:t>”</w:t>
      </w:r>
      <w:r w:rsidRPr="00A21345">
        <w:rPr>
          <w:rFonts w:ascii="Arial" w:hAnsi="Arial" w:cs="Arial"/>
          <w:sz w:val="22"/>
          <w:szCs w:val="22"/>
        </w:rPr>
        <w:t xml:space="preserve"> del bene</w:t>
      </w:r>
      <w:r w:rsidR="0024433A">
        <w:rPr>
          <w:rFonts w:ascii="Arial" w:hAnsi="Arial" w:cs="Arial"/>
          <w:sz w:val="22"/>
          <w:szCs w:val="22"/>
        </w:rPr>
        <w:t>;</w:t>
      </w:r>
      <w:r w:rsidRPr="00A21345">
        <w:rPr>
          <w:rFonts w:ascii="Arial" w:hAnsi="Arial" w:cs="Arial"/>
          <w:sz w:val="22"/>
          <w:szCs w:val="22"/>
        </w:rPr>
        <w:t xml:space="preserve"> </w:t>
      </w:r>
      <w:r w:rsidR="0024433A">
        <w:rPr>
          <w:rFonts w:ascii="Arial" w:hAnsi="Arial" w:cs="Arial"/>
          <w:sz w:val="22"/>
          <w:szCs w:val="22"/>
        </w:rPr>
        <w:t>il “costo dell’investimento”</w:t>
      </w:r>
      <w:r w:rsidRPr="00A21345">
        <w:rPr>
          <w:rFonts w:ascii="Arial" w:hAnsi="Arial" w:cs="Arial"/>
          <w:sz w:val="22"/>
          <w:szCs w:val="22"/>
        </w:rPr>
        <w:t>.</w:t>
      </w:r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 xml:space="preserve">Inoltre, ai soli fini della quantificazione del contributo è necessario indicare un ulteriore parametro relativo al “tasso di finanziamento” indicato nel </w:t>
      </w:r>
      <w:r w:rsidR="0024433A">
        <w:rPr>
          <w:rFonts w:ascii="Arial" w:hAnsi="Arial" w:cs="Arial"/>
          <w:sz w:val="22"/>
          <w:szCs w:val="22"/>
        </w:rPr>
        <w:t>PO</w:t>
      </w:r>
      <w:r w:rsidRPr="00A21345">
        <w:rPr>
          <w:rFonts w:ascii="Arial" w:hAnsi="Arial" w:cs="Arial"/>
          <w:sz w:val="22"/>
          <w:szCs w:val="22"/>
        </w:rPr>
        <w:t xml:space="preserve"> per la specifica linea di intervento.</w:t>
      </w:r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Nelle figure che seguono sono riportate le celle (bordate di rosso) presenti nel foglio di lavoro, all’interno delle quali vanno inseriti i dati appropriati.</w:t>
      </w:r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In particolare, nelle figure sottostanti:</w:t>
      </w:r>
    </w:p>
    <w:p w:rsidR="00A21345" w:rsidRDefault="00A21345" w:rsidP="009E18CB">
      <w:pPr>
        <w:numPr>
          <w:ilvl w:val="0"/>
          <w:numId w:val="1"/>
        </w:numPr>
        <w:spacing w:before="0" w:after="12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nella cella bordata di rosso va inserito il parametro riferito al tasso di sconto</w:t>
      </w:r>
    </w:p>
    <w:tbl>
      <w:tblPr>
        <w:tblW w:w="4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61"/>
      </w:tblGrid>
      <w:tr w:rsidR="009E18CB" w:rsidRPr="009E18CB" w:rsidTr="009E18CB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vAlign w:val="bottom"/>
            <w:hideMark/>
          </w:tcPr>
          <w:p w:rsidR="009E18CB" w:rsidRPr="009E18CB" w:rsidRDefault="0024433A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9E18CB" w:rsidRPr="009E18CB">
              <w:rPr>
                <w:rFonts w:ascii="Arial" w:hAnsi="Arial" w:cs="Arial"/>
                <w:b/>
                <w:bCs/>
                <w:sz w:val="20"/>
                <w:szCs w:val="20"/>
              </w:rPr>
              <w:t>asso di riferimento</w:t>
            </w:r>
          </w:p>
        </w:tc>
        <w:tc>
          <w:tcPr>
            <w:tcW w:w="13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E18CB">
              <w:rPr>
                <w:rFonts w:ascii="Arial" w:hAnsi="Arial" w:cs="Arial"/>
                <w:bCs/>
                <w:sz w:val="22"/>
                <w:szCs w:val="22"/>
              </w:rPr>
              <w:t>0,04</w:t>
            </w:r>
          </w:p>
        </w:tc>
      </w:tr>
    </w:tbl>
    <w:p w:rsidR="00A21345" w:rsidRPr="009E18CB" w:rsidRDefault="00A21345" w:rsidP="0024433A">
      <w:pPr>
        <w:numPr>
          <w:ilvl w:val="0"/>
          <w:numId w:val="1"/>
        </w:numPr>
        <w:spacing w:after="12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nella cella bordata di rosso va inserito il numero di anni che costituisce il periodo di riferimento</w:t>
      </w:r>
    </w:p>
    <w:tbl>
      <w:tblPr>
        <w:tblW w:w="4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61"/>
      </w:tblGrid>
      <w:tr w:rsidR="009E18CB" w:rsidRPr="009E18CB" w:rsidTr="0024433A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8CB">
              <w:rPr>
                <w:rFonts w:ascii="Arial" w:hAnsi="Arial" w:cs="Arial"/>
                <w:b/>
                <w:bCs/>
                <w:sz w:val="20"/>
                <w:szCs w:val="20"/>
              </w:rPr>
              <w:t>n (periodo di riferimento)</w:t>
            </w:r>
          </w:p>
        </w:tc>
        <w:tc>
          <w:tcPr>
            <w:tcW w:w="13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E18CB" w:rsidRPr="009E18CB" w:rsidRDefault="009E18CB" w:rsidP="009E18CB">
            <w:pPr>
              <w:spacing w:before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E18CB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</w:tbl>
    <w:p w:rsidR="00A21345" w:rsidRDefault="00A21345" w:rsidP="00A21345">
      <w:pPr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 xml:space="preserve">nella cella bordata di rosso va inserito il dato relativo alla percentuale di finanziamento indicata nel </w:t>
      </w:r>
      <w:r w:rsidR="0024433A">
        <w:rPr>
          <w:rFonts w:ascii="Arial" w:hAnsi="Arial" w:cs="Arial"/>
          <w:sz w:val="22"/>
          <w:szCs w:val="22"/>
        </w:rPr>
        <w:t>PO</w:t>
      </w:r>
      <w:r w:rsidRPr="00A21345">
        <w:rPr>
          <w:rFonts w:ascii="Arial" w:hAnsi="Arial" w:cs="Arial"/>
          <w:sz w:val="22"/>
          <w:szCs w:val="22"/>
        </w:rPr>
        <w:t xml:space="preserve"> per la specifica azione, a valere sulla quale è finanziato il progetto</w:t>
      </w:r>
    </w:p>
    <w:tbl>
      <w:tblPr>
        <w:tblW w:w="4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7"/>
      </w:tblGrid>
      <w:tr w:rsidR="0024433A" w:rsidRPr="0024433A" w:rsidTr="001930BC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24433A" w:rsidRPr="0024433A" w:rsidRDefault="0024433A" w:rsidP="0024433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24433A">
              <w:rPr>
                <w:rFonts w:ascii="Arial" w:hAnsi="Arial" w:cs="Arial"/>
                <w:b/>
                <w:bCs/>
                <w:sz w:val="20"/>
                <w:szCs w:val="20"/>
              </w:rPr>
              <w:t>asso di finanziamento</w:t>
            </w:r>
          </w:p>
        </w:tc>
        <w:tc>
          <w:tcPr>
            <w:tcW w:w="141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24433A" w:rsidRPr="0024433A" w:rsidRDefault="0024433A" w:rsidP="0024433A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33A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</w:tbl>
    <w:p w:rsidR="0024433A" w:rsidRDefault="001930BC" w:rsidP="001930BC">
      <w:pPr>
        <w:numPr>
          <w:ilvl w:val="0"/>
          <w:numId w:val="1"/>
        </w:numPr>
        <w:spacing w:after="120"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cella bordata di rosso va inserito il dato relativo al costo reale dell’investimento</w:t>
      </w:r>
    </w:p>
    <w:tbl>
      <w:tblPr>
        <w:tblW w:w="4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7"/>
      </w:tblGrid>
      <w:tr w:rsidR="001930BC" w:rsidRPr="001930BC" w:rsidTr="001930BC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1930BC" w:rsidRPr="001930BC" w:rsidRDefault="001930BC" w:rsidP="001930BC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0BC">
              <w:rPr>
                <w:rFonts w:ascii="Arial" w:hAnsi="Arial" w:cs="Arial"/>
                <w:b/>
                <w:bCs/>
                <w:sz w:val="20"/>
                <w:szCs w:val="20"/>
              </w:rPr>
              <w:t>Costo investimento</w:t>
            </w:r>
          </w:p>
        </w:tc>
        <w:tc>
          <w:tcPr>
            <w:tcW w:w="141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1930BC" w:rsidRPr="001930BC" w:rsidRDefault="001930BC" w:rsidP="001930BC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0BC">
              <w:rPr>
                <w:rFonts w:ascii="Arial" w:hAnsi="Arial" w:cs="Arial"/>
                <w:b/>
                <w:bCs/>
                <w:sz w:val="20"/>
                <w:szCs w:val="20"/>
              </w:rPr>
              <w:t>2.100.000,00</w:t>
            </w:r>
          </w:p>
        </w:tc>
      </w:tr>
    </w:tbl>
    <w:p w:rsidR="00A21345" w:rsidRPr="00A21345" w:rsidRDefault="00A21345" w:rsidP="00A21345">
      <w:pPr>
        <w:pStyle w:val="Titolo2"/>
      </w:pPr>
      <w:bookmarkStart w:id="6" w:name="_Toc402193000"/>
      <w:r w:rsidRPr="00A21345">
        <w:t>5</w:t>
      </w:r>
      <w:r w:rsidRPr="00A21345">
        <w:tab/>
        <w:t>Esiti del calcolo per la quantificazione del contributo di finanziamento</w:t>
      </w:r>
      <w:bookmarkEnd w:id="6"/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Nella figura che segue sono riportate le celle del foglio di calcolo rilevanti alla fine della quantificazione della spesa ammissibile e del relativo contributo di finanziamento.</w:t>
      </w:r>
    </w:p>
    <w:p w:rsidR="00A21345" w:rsidRPr="00A21345" w:rsidRDefault="00A21345" w:rsidP="00A21345">
      <w:pPr>
        <w:tabs>
          <w:tab w:val="decimal" w:pos="9360"/>
        </w:tabs>
        <w:spacing w:line="240" w:lineRule="auto"/>
        <w:ind w:left="482" w:hanging="482"/>
        <w:rPr>
          <w:b/>
          <w:sz w:val="20"/>
          <w:szCs w:val="20"/>
        </w:rPr>
      </w:pPr>
      <w:r w:rsidRPr="00A21345">
        <w:rPr>
          <w:b/>
          <w:sz w:val="20"/>
          <w:szCs w:val="20"/>
        </w:rPr>
        <w:t>1.</w:t>
      </w:r>
      <w:r w:rsidR="001930BC">
        <w:rPr>
          <w:b/>
          <w:sz w:val="20"/>
          <w:szCs w:val="20"/>
        </w:rPr>
        <w:tab/>
        <w:t>Costo investimento</w:t>
      </w:r>
      <w:r w:rsidRPr="00A21345">
        <w:rPr>
          <w:b/>
          <w:sz w:val="20"/>
          <w:szCs w:val="20"/>
        </w:rPr>
        <w:tab/>
      </w:r>
      <w:r w:rsidR="001930BC">
        <w:rPr>
          <w:b/>
          <w:sz w:val="20"/>
          <w:szCs w:val="20"/>
        </w:rPr>
        <w:t>2</w:t>
      </w:r>
      <w:r w:rsidRPr="00A21345">
        <w:rPr>
          <w:b/>
          <w:sz w:val="20"/>
          <w:szCs w:val="20"/>
        </w:rPr>
        <w:t>.</w:t>
      </w:r>
      <w:r w:rsidR="001930BC">
        <w:rPr>
          <w:b/>
          <w:sz w:val="20"/>
          <w:szCs w:val="20"/>
        </w:rPr>
        <w:t>100</w:t>
      </w:r>
      <w:r w:rsidRPr="00A21345">
        <w:rPr>
          <w:b/>
          <w:sz w:val="20"/>
          <w:szCs w:val="20"/>
        </w:rPr>
        <w:t>.</w:t>
      </w:r>
      <w:r w:rsidR="001930BC">
        <w:rPr>
          <w:b/>
          <w:sz w:val="20"/>
          <w:szCs w:val="20"/>
        </w:rPr>
        <w:t>000,00</w:t>
      </w:r>
    </w:p>
    <w:p w:rsidR="00A21345" w:rsidRPr="00A21345" w:rsidRDefault="00A21345" w:rsidP="00A21345">
      <w:pPr>
        <w:tabs>
          <w:tab w:val="decimal" w:pos="9360"/>
        </w:tabs>
        <w:spacing w:before="0" w:line="240" w:lineRule="auto"/>
        <w:ind w:left="480" w:hanging="480"/>
        <w:rPr>
          <w:sz w:val="20"/>
          <w:szCs w:val="20"/>
        </w:rPr>
      </w:pPr>
      <w:r w:rsidRPr="00A21345">
        <w:rPr>
          <w:sz w:val="20"/>
          <w:szCs w:val="20"/>
        </w:rPr>
        <w:t>2.</w:t>
      </w:r>
      <w:r w:rsidRPr="00A21345">
        <w:rPr>
          <w:sz w:val="20"/>
          <w:szCs w:val="20"/>
        </w:rPr>
        <w:tab/>
        <w:t>Valore attuale delle entrate</w:t>
      </w:r>
      <w:r w:rsidR="001930BC" w:rsidRPr="001930BC">
        <w:rPr>
          <w:sz w:val="20"/>
          <w:szCs w:val="20"/>
        </w:rPr>
        <w:t>/ricavi</w:t>
      </w:r>
      <w:r w:rsidRPr="00A21345">
        <w:rPr>
          <w:b/>
          <w:sz w:val="20"/>
          <w:szCs w:val="20"/>
        </w:rPr>
        <w:tab/>
      </w:r>
      <w:r w:rsidR="00005C91">
        <w:rPr>
          <w:sz w:val="20"/>
          <w:szCs w:val="20"/>
        </w:rPr>
        <w:t>7</w:t>
      </w:r>
      <w:r w:rsidRPr="00A21345">
        <w:rPr>
          <w:sz w:val="20"/>
          <w:szCs w:val="20"/>
        </w:rPr>
        <w:t>.</w:t>
      </w:r>
      <w:r w:rsidR="00005C91">
        <w:rPr>
          <w:sz w:val="20"/>
          <w:szCs w:val="20"/>
        </w:rPr>
        <w:t>627</w:t>
      </w:r>
      <w:r w:rsidRPr="00A21345">
        <w:rPr>
          <w:sz w:val="20"/>
          <w:szCs w:val="20"/>
        </w:rPr>
        <w:t>.</w:t>
      </w:r>
      <w:r w:rsidR="00005C91">
        <w:rPr>
          <w:sz w:val="20"/>
          <w:szCs w:val="20"/>
        </w:rPr>
        <w:t>859</w:t>
      </w:r>
      <w:r w:rsidRPr="00A21345">
        <w:rPr>
          <w:sz w:val="20"/>
          <w:szCs w:val="20"/>
        </w:rPr>
        <w:t>,</w:t>
      </w:r>
      <w:r w:rsidR="00005C91">
        <w:rPr>
          <w:sz w:val="20"/>
          <w:szCs w:val="20"/>
        </w:rPr>
        <w:t>25</w:t>
      </w:r>
    </w:p>
    <w:p w:rsidR="00A21345" w:rsidRPr="00A21345" w:rsidRDefault="00A21345" w:rsidP="00A21345">
      <w:pPr>
        <w:tabs>
          <w:tab w:val="decimal" w:pos="9360"/>
        </w:tabs>
        <w:spacing w:before="0" w:line="240" w:lineRule="auto"/>
        <w:ind w:left="480" w:hanging="480"/>
        <w:rPr>
          <w:sz w:val="20"/>
          <w:szCs w:val="20"/>
        </w:rPr>
      </w:pPr>
      <w:r w:rsidRPr="00A21345">
        <w:rPr>
          <w:sz w:val="20"/>
          <w:szCs w:val="20"/>
        </w:rPr>
        <w:t>3.</w:t>
      </w:r>
      <w:r w:rsidRPr="00A21345">
        <w:rPr>
          <w:sz w:val="20"/>
          <w:szCs w:val="20"/>
        </w:rPr>
        <w:tab/>
      </w:r>
      <w:r w:rsidR="001930BC">
        <w:rPr>
          <w:sz w:val="20"/>
          <w:szCs w:val="20"/>
        </w:rPr>
        <w:t>Valore attuale delle uscite/costi</w:t>
      </w:r>
      <w:r w:rsidRPr="00A21345">
        <w:rPr>
          <w:sz w:val="20"/>
          <w:szCs w:val="20"/>
        </w:rPr>
        <w:tab/>
      </w:r>
      <w:r w:rsidR="00005C91">
        <w:rPr>
          <w:sz w:val="20"/>
          <w:szCs w:val="20"/>
        </w:rPr>
        <w:t>7.246.466,29</w:t>
      </w:r>
    </w:p>
    <w:p w:rsidR="00A21345" w:rsidRDefault="00A21345" w:rsidP="00A21345">
      <w:pPr>
        <w:tabs>
          <w:tab w:val="decimal" w:pos="9360"/>
        </w:tabs>
        <w:spacing w:before="0" w:line="240" w:lineRule="auto"/>
        <w:ind w:left="480" w:hanging="480"/>
        <w:rPr>
          <w:b/>
          <w:sz w:val="20"/>
          <w:szCs w:val="20"/>
        </w:rPr>
      </w:pPr>
      <w:r w:rsidRPr="00A21345">
        <w:rPr>
          <w:b/>
          <w:sz w:val="20"/>
          <w:szCs w:val="20"/>
        </w:rPr>
        <w:t>4.</w:t>
      </w:r>
      <w:r w:rsidRPr="00A21345">
        <w:rPr>
          <w:b/>
          <w:sz w:val="20"/>
          <w:szCs w:val="20"/>
        </w:rPr>
        <w:tab/>
        <w:t xml:space="preserve">Valore </w:t>
      </w:r>
      <w:r w:rsidR="001930BC">
        <w:rPr>
          <w:b/>
          <w:sz w:val="20"/>
          <w:szCs w:val="20"/>
        </w:rPr>
        <w:t>attale delle entrate nette</w:t>
      </w:r>
      <w:r w:rsidRPr="00A21345">
        <w:rPr>
          <w:sz w:val="20"/>
          <w:szCs w:val="20"/>
        </w:rPr>
        <w:tab/>
      </w:r>
      <w:r w:rsidR="00005C91">
        <w:rPr>
          <w:b/>
          <w:sz w:val="20"/>
          <w:szCs w:val="20"/>
        </w:rPr>
        <w:t>381.392,96</w:t>
      </w:r>
    </w:p>
    <w:p w:rsidR="001930BC" w:rsidRPr="00A21345" w:rsidRDefault="001930BC" w:rsidP="00A21345">
      <w:pPr>
        <w:tabs>
          <w:tab w:val="decimal" w:pos="9360"/>
        </w:tabs>
        <w:spacing w:before="0" w:line="240" w:lineRule="auto"/>
        <w:ind w:left="480" w:hanging="480"/>
        <w:rPr>
          <w:sz w:val="20"/>
          <w:szCs w:val="20"/>
        </w:rPr>
      </w:pPr>
      <w:r w:rsidRPr="001930BC">
        <w:rPr>
          <w:sz w:val="20"/>
          <w:szCs w:val="20"/>
        </w:rPr>
        <w:t>5</w:t>
      </w:r>
      <w:r w:rsidRPr="001930BC">
        <w:rPr>
          <w:sz w:val="20"/>
          <w:szCs w:val="20"/>
        </w:rPr>
        <w:tab/>
        <w:t>Valore residuo dell’investimento</w:t>
      </w:r>
      <w:r w:rsidR="00005C91">
        <w:rPr>
          <w:sz w:val="20"/>
          <w:szCs w:val="20"/>
        </w:rPr>
        <w:tab/>
        <w:t>84.000,00</w:t>
      </w:r>
    </w:p>
    <w:p w:rsidR="00A21345" w:rsidRPr="00A21345" w:rsidRDefault="001930BC" w:rsidP="00A21345">
      <w:pPr>
        <w:tabs>
          <w:tab w:val="decimal" w:pos="9360"/>
        </w:tabs>
        <w:spacing w:before="0" w:line="240" w:lineRule="auto"/>
        <w:ind w:left="480" w:hanging="48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A21345" w:rsidRPr="00A21345">
        <w:rPr>
          <w:b/>
          <w:sz w:val="20"/>
          <w:szCs w:val="20"/>
        </w:rPr>
        <w:t>.</w:t>
      </w:r>
      <w:r w:rsidR="00A21345" w:rsidRPr="00A21345">
        <w:rPr>
          <w:b/>
          <w:sz w:val="20"/>
          <w:szCs w:val="20"/>
        </w:rPr>
        <w:tab/>
        <w:t xml:space="preserve">Valore </w:t>
      </w:r>
      <w:r>
        <w:rPr>
          <w:b/>
          <w:sz w:val="20"/>
          <w:szCs w:val="20"/>
        </w:rPr>
        <w:t>residuo</w:t>
      </w:r>
      <w:r w:rsidR="00A21345" w:rsidRPr="00A21345">
        <w:rPr>
          <w:b/>
          <w:sz w:val="20"/>
          <w:szCs w:val="20"/>
        </w:rPr>
        <w:t xml:space="preserve"> investimento </w:t>
      </w:r>
      <w:r>
        <w:rPr>
          <w:b/>
          <w:sz w:val="20"/>
          <w:szCs w:val="20"/>
        </w:rPr>
        <w:t>attualizzato</w:t>
      </w:r>
      <w:r w:rsidR="00A21345" w:rsidRPr="00A21345">
        <w:rPr>
          <w:b/>
          <w:sz w:val="20"/>
          <w:szCs w:val="20"/>
        </w:rPr>
        <w:tab/>
      </w:r>
      <w:r w:rsidR="00005C91">
        <w:rPr>
          <w:b/>
          <w:sz w:val="20"/>
          <w:szCs w:val="20"/>
        </w:rPr>
        <w:t>3</w:t>
      </w:r>
      <w:r w:rsidR="00A21345" w:rsidRPr="00A21345">
        <w:rPr>
          <w:b/>
          <w:sz w:val="20"/>
          <w:szCs w:val="20"/>
        </w:rPr>
        <w:t>2.</w:t>
      </w:r>
      <w:r w:rsidR="00005C91">
        <w:rPr>
          <w:b/>
          <w:sz w:val="20"/>
          <w:szCs w:val="20"/>
        </w:rPr>
        <w:t>779</w:t>
      </w:r>
      <w:r w:rsidR="00A21345" w:rsidRPr="00A21345">
        <w:rPr>
          <w:b/>
          <w:sz w:val="20"/>
          <w:szCs w:val="20"/>
        </w:rPr>
        <w:t>,</w:t>
      </w:r>
      <w:r w:rsidR="00005C91">
        <w:rPr>
          <w:b/>
          <w:sz w:val="20"/>
          <w:szCs w:val="20"/>
        </w:rPr>
        <w:t>20</w:t>
      </w:r>
    </w:p>
    <w:p w:rsidR="00A21345" w:rsidRPr="00A21345" w:rsidRDefault="001930BC" w:rsidP="00A21345">
      <w:pPr>
        <w:tabs>
          <w:tab w:val="decimal" w:pos="9360"/>
        </w:tabs>
        <w:spacing w:before="0" w:line="240" w:lineRule="auto"/>
        <w:ind w:left="480" w:hanging="480"/>
        <w:rPr>
          <w:b/>
          <w:sz w:val="20"/>
          <w:szCs w:val="20"/>
          <w:bdr w:val="single" w:sz="4" w:space="0" w:color="auto"/>
        </w:rPr>
      </w:pPr>
      <w:r>
        <w:rPr>
          <w:b/>
          <w:sz w:val="20"/>
          <w:szCs w:val="20"/>
        </w:rPr>
        <w:t>7</w:t>
      </w:r>
      <w:r w:rsidR="00A21345" w:rsidRPr="00A21345">
        <w:rPr>
          <w:b/>
          <w:sz w:val="20"/>
          <w:szCs w:val="20"/>
        </w:rPr>
        <w:t>.</w:t>
      </w:r>
      <w:r w:rsidR="00A21345" w:rsidRPr="00A21345">
        <w:rPr>
          <w:b/>
          <w:sz w:val="20"/>
          <w:szCs w:val="20"/>
        </w:rPr>
        <w:tab/>
        <w:t>Spesa ammissibile (</w:t>
      </w:r>
      <w:r w:rsidR="00005C91">
        <w:rPr>
          <w:b/>
          <w:i/>
          <w:sz w:val="20"/>
          <w:szCs w:val="20"/>
        </w:rPr>
        <w:t>c</w:t>
      </w:r>
      <w:r>
        <w:rPr>
          <w:b/>
          <w:i/>
          <w:sz w:val="20"/>
          <w:szCs w:val="20"/>
        </w:rPr>
        <w:t xml:space="preserve">osto investimento – </w:t>
      </w:r>
      <w:r w:rsidR="00005C91">
        <w:rPr>
          <w:b/>
          <w:i/>
          <w:sz w:val="20"/>
          <w:szCs w:val="20"/>
        </w:rPr>
        <w:t>ENA</w:t>
      </w:r>
      <w:r>
        <w:rPr>
          <w:b/>
          <w:i/>
          <w:sz w:val="20"/>
          <w:szCs w:val="20"/>
        </w:rPr>
        <w:t>- valore residuo attualizzato)</w:t>
      </w:r>
      <w:r w:rsidR="00A21345" w:rsidRPr="00A21345">
        <w:rPr>
          <w:b/>
          <w:sz w:val="20"/>
          <w:szCs w:val="20"/>
        </w:rPr>
        <w:tab/>
      </w:r>
      <w:r w:rsidR="00005C91" w:rsidRPr="00005C91">
        <w:rPr>
          <w:b/>
          <w:sz w:val="20"/>
          <w:szCs w:val="20"/>
          <w:bdr w:val="single" w:sz="12" w:space="0" w:color="538135" w:themeColor="accent6" w:themeShade="BF"/>
        </w:rPr>
        <w:t>1.685.836,83</w:t>
      </w:r>
    </w:p>
    <w:p w:rsidR="00A21345" w:rsidRPr="00A21345" w:rsidRDefault="00005C91" w:rsidP="00A21345">
      <w:pPr>
        <w:tabs>
          <w:tab w:val="decimal" w:pos="9360"/>
        </w:tabs>
        <w:spacing w:before="0" w:line="240" w:lineRule="auto"/>
        <w:ind w:left="480" w:hanging="48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21345" w:rsidRPr="00A21345">
        <w:rPr>
          <w:b/>
          <w:sz w:val="20"/>
          <w:szCs w:val="20"/>
        </w:rPr>
        <w:t>.</w:t>
      </w:r>
      <w:r w:rsidR="00A21345" w:rsidRPr="00A21345">
        <w:rPr>
          <w:b/>
          <w:sz w:val="20"/>
          <w:szCs w:val="20"/>
        </w:rPr>
        <w:tab/>
        <w:t xml:space="preserve">Contributo di cofinanziamento = </w:t>
      </w:r>
      <w:r>
        <w:rPr>
          <w:b/>
          <w:sz w:val="20"/>
          <w:szCs w:val="20"/>
        </w:rPr>
        <w:t>7</w:t>
      </w:r>
      <w:r w:rsidR="00A21345" w:rsidRPr="00A21345">
        <w:rPr>
          <w:b/>
          <w:sz w:val="20"/>
          <w:szCs w:val="20"/>
        </w:rPr>
        <w:t xml:space="preserve"> x 0,</w:t>
      </w:r>
      <w:r>
        <w:rPr>
          <w:b/>
          <w:sz w:val="20"/>
          <w:szCs w:val="20"/>
        </w:rPr>
        <w:t>6</w:t>
      </w:r>
      <w:r w:rsidR="00A21345" w:rsidRPr="00A21345">
        <w:rPr>
          <w:b/>
          <w:sz w:val="20"/>
          <w:szCs w:val="20"/>
        </w:rPr>
        <w:t>0</w:t>
      </w:r>
      <w:r w:rsidR="00A21345" w:rsidRPr="00A21345">
        <w:rPr>
          <w:b/>
          <w:sz w:val="20"/>
          <w:szCs w:val="20"/>
        </w:rPr>
        <w:tab/>
      </w:r>
      <w:r w:rsidRPr="00005C91">
        <w:rPr>
          <w:b/>
          <w:sz w:val="20"/>
          <w:szCs w:val="20"/>
          <w:bdr w:val="single" w:sz="12" w:space="0" w:color="538135" w:themeColor="accent6" w:themeShade="BF"/>
        </w:rPr>
        <w:t>1.011.502,10</w:t>
      </w:r>
    </w:p>
    <w:p w:rsidR="00A21345" w:rsidRPr="00A21345" w:rsidRDefault="00A21345" w:rsidP="00005C91">
      <w:pPr>
        <w:spacing w:line="240" w:lineRule="auto"/>
        <w:rPr>
          <w:rFonts w:ascii="Arial" w:hAnsi="Arial" w:cs="Arial"/>
          <w:sz w:val="22"/>
          <w:szCs w:val="22"/>
        </w:rPr>
      </w:pPr>
      <w:bookmarkStart w:id="7" w:name="_GoBack"/>
      <w:r w:rsidRPr="00A21345">
        <w:rPr>
          <w:rFonts w:ascii="Arial" w:hAnsi="Arial" w:cs="Arial"/>
          <w:sz w:val="22"/>
          <w:szCs w:val="22"/>
        </w:rPr>
        <w:t>Tutti i dati in essa riportati hanno rilevanza ai fini di un’eventuale analisi finanziaria, tuttavia solo due dati assumono rilevanza ai fini dei nostri calcoli: la spesa ammissibile e il contributo di cofinanziamento che sono indicati nelle celle bordate di verde.</w:t>
      </w:r>
    </w:p>
    <w:p w:rsidR="00A21345" w:rsidRPr="00A21345" w:rsidRDefault="00A21345" w:rsidP="00A21345">
      <w:pPr>
        <w:spacing w:before="0" w:line="240" w:lineRule="auto"/>
        <w:rPr>
          <w:rFonts w:ascii="Arial" w:hAnsi="Arial" w:cs="Arial"/>
          <w:sz w:val="22"/>
          <w:szCs w:val="22"/>
        </w:rPr>
      </w:pPr>
      <w:r w:rsidRPr="00A21345">
        <w:rPr>
          <w:rFonts w:ascii="Arial" w:hAnsi="Arial" w:cs="Arial"/>
          <w:sz w:val="22"/>
          <w:szCs w:val="22"/>
        </w:rPr>
        <w:t>Gli elementi riportati nella tabella non si riferiscono ad un particolare progetto e sono stati inseriti solo per testare il processo di calcolo</w:t>
      </w:r>
      <w:bookmarkEnd w:id="7"/>
    </w:p>
    <w:sectPr w:rsidR="00A21345" w:rsidRPr="00A21345" w:rsidSect="00050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AA5"/>
    <w:multiLevelType w:val="hybridMultilevel"/>
    <w:tmpl w:val="68BEAAFC"/>
    <w:lvl w:ilvl="0" w:tplc="41D61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45"/>
    <w:rsid w:val="00005C91"/>
    <w:rsid w:val="00024897"/>
    <w:rsid w:val="00050961"/>
    <w:rsid w:val="001930BC"/>
    <w:rsid w:val="0024433A"/>
    <w:rsid w:val="003063A2"/>
    <w:rsid w:val="00391882"/>
    <w:rsid w:val="00671233"/>
    <w:rsid w:val="006C6B79"/>
    <w:rsid w:val="009E18CB"/>
    <w:rsid w:val="00A21345"/>
    <w:rsid w:val="00A47F6A"/>
    <w:rsid w:val="00BD12A4"/>
    <w:rsid w:val="00C44447"/>
    <w:rsid w:val="00C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36F5"/>
  <w15:chartTrackingRefBased/>
  <w15:docId w15:val="{0B60E683-493E-40BE-BA77-0A6B48A1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94EB4"/>
    <w:pPr>
      <w:spacing w:before="120" w:after="0" w:line="300" w:lineRule="atLeast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1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123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12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13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DDDDD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Ecoter</dc:creator>
  <cp:keywords/>
  <dc:description/>
  <cp:lastModifiedBy>AT Ecoter</cp:lastModifiedBy>
  <cp:revision>2</cp:revision>
  <dcterms:created xsi:type="dcterms:W3CDTF">2017-03-31T13:20:00Z</dcterms:created>
  <dcterms:modified xsi:type="dcterms:W3CDTF">2017-03-31T14:31:00Z</dcterms:modified>
</cp:coreProperties>
</file>