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left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CHECK LIST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E ISTRUZIONI PER I CONTROLLI </w:t>
      </w:r>
    </w:p>
    <w:p>
      <w:pPr>
        <w:pStyle w:val="Standard"/>
        <w:spacing w:lineRule="auto" w:line="240"/>
        <w:jc w:val="center"/>
        <w:rPr>
          <w:i/>
          <w:i/>
          <w:iCs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44"/>
          <w:szCs w:val="44"/>
        </w:rPr>
        <w:t>Somme forfettarie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AD USO DEL PERSONALE DELLE AMMINISTRAZIONI CHE GESTISCONO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IL FONDO SOCIALE EUROPEO E DEI BENEFICIARI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color w:val="2F5496"/>
          <w:sz w:val="28"/>
          <w:szCs w:val="28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0000FF"/>
        </w:rPr>
      </w:pPr>
      <w:r>
        <w:rPr>
          <w:rFonts w:eastAsia="Yu Gothic UI Semilight" w:cs="Segoe UI Light" w:ascii="Segoe UI Light" w:hAnsi="Segoe UI Light"/>
          <w:color w:val="0000FF"/>
        </w:rPr>
      </w:r>
    </w:p>
    <w:p>
      <w:pPr>
        <w:pStyle w:val="Standard"/>
        <w:jc w:val="center"/>
        <w:rPr>
          <w:rFonts w:ascii="Segoe UI Light" w:hAnsi="Segoe UI Light" w:eastAsia="Yu Gothic UI Semilight" w:cs="Segoe UI Light"/>
        </w:rPr>
      </w:pPr>
      <w:r>
        <w:rPr>
          <w:rFonts w:eastAsia="Yu Gothic UI Semilight" w:cs="Segoe UI Light" w:ascii="Segoe UI Light" w:hAnsi="Segoe UI Light"/>
        </w:rPr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568" w:top="625" w:footer="0" w:bottom="720"/>
          <w:pgNumType w:fmt="decimal"/>
          <w:formProt w:val="false"/>
          <w:textDirection w:val="lrTb"/>
          <w:docGrid w:type="default" w:linePitch="100" w:charSpace="24576"/>
        </w:sect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All. “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  <w:shd w:fill="auto" w:val="clear"/>
        </w:rPr>
        <w:t>2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  <w:shd w:fill="auto" w:val="clear"/>
        </w:rPr>
        <w:t>2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” alle Linee Guida per la gestione e il controllo PR FSE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+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 xml:space="preserve"> 21-27</w:t>
      </w:r>
    </w:p>
    <w:tbl>
      <w:tblPr>
        <w:tblW w:w="50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946"/>
      </w:tblGrid>
      <w:tr>
        <w:trPr>
          <w:trHeight w:val="254" w:hRule="atLeast"/>
        </w:trPr>
        <w:tc>
          <w:tcPr>
            <w:tcW w:w="1394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rFonts w:ascii="Segoe UI Light" w:hAnsi="Segoe UI Light" w:eastAsia="Yu Gothic UI Semilight" w:cs="Segoe UI Light"/>
                <w:b/>
                <w:bCs/>
                <w:i/>
                <w:i/>
                <w:iCs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i/>
                <w:iCs/>
                <w:color w:val="2F5496"/>
              </w:rPr>
              <w:t>INDICE DELLE REVISIONI</w:t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tbl>
      <w:tblPr>
        <w:tblW w:w="50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5"/>
        <w:gridCol w:w="1240"/>
        <w:gridCol w:w="747"/>
        <w:gridCol w:w="8331"/>
        <w:gridCol w:w="1442"/>
        <w:gridCol w:w="1350"/>
      </w:tblGrid>
      <w:tr>
        <w:trPr>
          <w:trHeight w:val="439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Rev.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D.D.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Descrizione delle modifiche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Paragrafo</w:t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Pagina/e</w:t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  <w:t>Rev. 00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00/00/0000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00-000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PRIMA EMISSIONE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134" w:right="1758" w:gutter="0" w:header="567" w:top="1134" w:footer="0" w:bottom="720"/>
          <w:pgNumType w:fmt="decimal"/>
          <w:formProt w:val="false"/>
          <w:textDirection w:val="lrTb"/>
          <w:docGrid w:type="default" w:linePitch="100" w:charSpace="24576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rPr/>
          </w:pPr>
          <w:r>
            <w:rPr/>
            <w:t>Sommario</w:t>
          </w:r>
        </w:p>
        <w:p>
          <w:pPr>
            <w:pStyle w:val="TOC2"/>
            <w:tabs>
              <w:tab w:val="clear" w:pos="720"/>
              <w:tab w:val="right" w:pos="9628" w:leader="dot"/>
            </w:tabs>
            <w:rPr>
              <w:rFonts w:eastAsia="" w:cs="" w:cstheme="minorBidi" w:eastAsiaTheme="minorEastAsia"/>
              <w:kern w:val="2"/>
              <w:sz w:val="24"/>
              <w:szCs w:val="24"/>
              <w:lang w:eastAsia="it-IT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Saltoaindice"/>
              <w:b/>
              <w:bCs/>
              <w:vanish w:val="false"/>
              <w:rFonts w:eastAsia="Yu Gothic UI Semilight" w:cs="Segoe UI Light" w:ascii="Segoe UI Light" w:hAnsi="Segoe UI Light"/>
            </w:rPr>
            <w:instrText xml:space="preserve"> TOC \z \o "1-3" \u \h</w:instrText>
          </w:r>
          <w:r>
            <w:rPr>
              <w:webHidden/>
              <w:rStyle w:val="Saltoaindice"/>
              <w:b/>
              <w:bCs/>
              <w:vanish w:val="false"/>
              <w:rFonts w:eastAsia="Yu Gothic UI Semilight" w:cs="Segoe UI Light" w:ascii="Segoe UI Light" w:hAnsi="Segoe UI Light"/>
            </w:rPr>
            <w:fldChar w:fldCharType="separate"/>
          </w:r>
          <w:hyperlink w:anchor="_Toc178840177">
            <w:r>
              <w:rPr>
                <w:webHidden/>
                <w:rStyle w:val="Saltoaindice"/>
                <w:rFonts w:eastAsia="Yu Gothic UI Semilight" w:cs="Segoe UI Light" w:ascii="Segoe UI Light" w:hAnsi="Segoe UI Light"/>
                <w:b/>
                <w:bCs/>
                <w:vanish w:val="false"/>
              </w:rPr>
              <w:t>Check list per i Controlli SOMME FORFETTARIE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_Toc178840177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9628" w:leader="dot"/>
            </w:tabs>
            <w:rPr>
              <w:rFonts w:eastAsia="" w:cs="" w:cstheme="minorBidi" w:eastAsiaTheme="minorEastAsia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78840178">
            <w:r>
              <w:rPr>
                <w:webHidden/>
                <w:rStyle w:val="Saltoaindice"/>
                <w:rFonts w:eastAsia="Yu Gothic UI Semilight" w:cs="Segoe UI Light" w:ascii="Segoe UI Light" w:hAnsi="Segoe UI Light"/>
                <w:b/>
                <w:bCs/>
                <w:vanish w:val="false"/>
              </w:rPr>
              <w:t>Istruzioni per i Controlli su SOMME FORFETTARIE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_Toc178840178 \h</w:instrText>
            </w:r>
            <w:r>
              <w:rPr>
                <w:webHidden/>
              </w:rPr>
              <w:fldChar w:fldCharType="separate"/>
            </w:r>
            <w:r>
              <w:rPr>
                <w:rStyle w:val="Saltoa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20"/>
              <w:tab w:val="right" w:pos="9638" w:leader="dot"/>
            </w:tabs>
            <w:rPr/>
          </w:pPr>
          <w:r>
            <w:rPr/>
          </w:r>
          <w:r>
            <w:rPr/>
            <w:fldChar w:fldCharType="end"/>
          </w:r>
        </w:p>
        <w:p>
          <w:pPr>
            <w:sectPr>
              <w:headerReference w:type="default" r:id="rId5"/>
              <w:headerReference w:type="first" r:id="rId6"/>
              <w:footerReference w:type="default" r:id="rId7"/>
              <w:type w:val="nextPage"/>
              <w:pgSz w:w="11906" w:h="16838"/>
              <w:pgMar w:left="1134" w:right="1134" w:gutter="0" w:header="708" w:top="1417" w:footer="708" w:bottom="1134"/>
              <w:pgNumType w:fmt="decimal"/>
              <w:formProt w:val="false"/>
              <w:textDirection w:val="lrTb"/>
              <w:docGrid w:type="default" w:linePitch="360" w:charSpace="12288"/>
            </w:sectPr>
          </w:pPr>
        </w:p>
      </w:sdtContent>
    </w:sdt>
    <w:p>
      <w:pPr>
        <w:pStyle w:val="Normal"/>
        <w:jc w:val="center"/>
        <w:rPr>
          <w:rFonts w:eastAsia="Yu Gothic UI Semilight"/>
          <w:sz w:val="18"/>
          <w:szCs w:val="18"/>
        </w:rPr>
      </w:pPr>
      <w:r>
        <w:rPr/>
        <w:drawing>
          <wp:inline distT="0" distB="0" distL="0" distR="0">
            <wp:extent cx="5988050" cy="489585"/>
            <wp:effectExtent l="0" t="0" r="0" b="0"/>
            <wp:docPr id="2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jc w:val="center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r>
        <w:rPr>
          <w:rFonts w:eastAsia="Yu Gothic UI Semilight" w:cs="Segoe UI Light" w:ascii="Segoe UI Light" w:hAnsi="Segoe UI Light"/>
          <w:b/>
          <w:bCs/>
          <w:sz w:val="22"/>
          <w:szCs w:val="22"/>
        </w:rPr>
      </w:r>
    </w:p>
    <w:p>
      <w:pPr>
        <w:pStyle w:val="Normal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Heading2"/>
        <w:jc w:val="center"/>
        <w:rPr>
          <w:sz w:val="24"/>
          <w:szCs w:val="24"/>
        </w:rPr>
      </w:pPr>
      <w:bookmarkStart w:id="0" w:name="_Toc178840177"/>
      <w:bookmarkStart w:id="1" w:name="_Toc132812374"/>
      <w:r>
        <w:rPr>
          <w:rFonts w:eastAsia="Yu Gothic UI Semilight" w:cs="Segoe UI Light" w:ascii="Segoe UI Light" w:hAnsi="Segoe UI Light"/>
          <w:b/>
          <w:bCs/>
          <w:sz w:val="24"/>
          <w:szCs w:val="24"/>
        </w:rPr>
        <w:t>Check list per i Controlli S</w:t>
      </w:r>
      <w:bookmarkEnd w:id="1"/>
      <w:r>
        <w:rPr>
          <w:rFonts w:eastAsia="Yu Gothic UI Semilight" w:cs="Segoe UI Light" w:ascii="Segoe UI Light" w:hAnsi="Segoe UI Light"/>
          <w:b/>
          <w:bCs/>
          <w:sz w:val="24"/>
          <w:szCs w:val="24"/>
        </w:rPr>
        <w:t>OMME FORFETTARIE</w:t>
      </w:r>
      <w:bookmarkEnd w:id="0"/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tbl>
      <w:tblPr>
        <w:tblStyle w:val="TableGrid"/>
        <w:tblW w:w="1428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181"/>
        <w:gridCol w:w="3516"/>
        <w:gridCol w:w="2774"/>
        <w:gridCol w:w="1253"/>
        <w:gridCol w:w="2885"/>
      </w:tblGrid>
      <w:tr>
        <w:trPr>
          <w:tblHeader w:val="true"/>
          <w:trHeight w:val="409" w:hRule="atLeast"/>
        </w:trPr>
        <w:tc>
          <w:tcPr>
            <w:tcW w:w="675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N°</w:t>
            </w:r>
          </w:p>
        </w:tc>
        <w:tc>
          <w:tcPr>
            <w:tcW w:w="3181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ITEM</w:t>
            </w:r>
          </w:p>
        </w:tc>
        <w:tc>
          <w:tcPr>
            <w:tcW w:w="3516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CLASSIFICAZIONE DEL CONTROLLO</w:t>
            </w:r>
          </w:p>
        </w:tc>
        <w:tc>
          <w:tcPr>
            <w:tcW w:w="2774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ESITO</w:t>
            </w:r>
          </w:p>
        </w:tc>
        <w:tc>
          <w:tcPr>
            <w:tcW w:w="1253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MOTIVAZIONE</w:t>
            </w:r>
          </w:p>
        </w:tc>
        <w:tc>
          <w:tcPr>
            <w:tcW w:w="2885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PRESCRIZIONE / RACCOMANDAZIONE</w:t>
            </w:r>
          </w:p>
        </w:tc>
      </w:tr>
      <w:tr>
        <w:trPr>
          <w:trHeight w:val="1148" w:hRule="atLeast"/>
        </w:trPr>
        <w:tc>
          <w:tcPr>
            <w:tcW w:w="675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3181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irregolarità ex art. 2 co. 31 Reg. (UE) n. 2021/1060 ss.mm.ii.</w:t>
            </w:r>
          </w:p>
        </w:tc>
        <w:tc>
          <w:tcPr>
            <w:tcW w:w="3516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>
              <w:top w:val="single" w:sz="4" w:space="0" w:color="B4C6E7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>
              <w:top w:val="single" w:sz="4" w:space="0" w:color="B4C6E7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90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2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Aptos" w:cs="Calibri"/>
                <w:sz w:val="16"/>
                <w:szCs w:val="16"/>
              </w:rPr>
            </w:pPr>
            <w:r>
              <w:rPr>
                <w:rFonts w:eastAsia="Aptos" w:cs="Calibri" w:cstheme="minorHAnsi"/>
                <w:kern w:val="0"/>
                <w:sz w:val="16"/>
                <w:szCs w:val="16"/>
                <w:lang w:val="it-IT" w:eastAsia="en-US" w:bidi="ar-SA"/>
              </w:rPr>
              <w:t xml:space="preserve">Verifica della presenza e mantenimento da parte del </w:t>
            </w:r>
            <w:r>
              <w:rPr>
                <w:rFonts w:eastAsia="Aptos" w:cs="Calibri"/>
                <w:color w:val="000000"/>
                <w:kern w:val="0"/>
                <w:sz w:val="16"/>
                <w:szCs w:val="16"/>
                <w:lang w:val="it-IT" w:eastAsia="en-US" w:bidi="ar-SA"/>
              </w:rPr>
              <w:t>beneficiario</w:t>
            </w:r>
            <w:r>
              <w:rPr>
                <w:rFonts w:eastAsia="Aptos" w:cs="Calibri" w:cstheme="minorHAnsi"/>
                <w:kern w:val="0"/>
                <w:sz w:val="16"/>
                <w:szCs w:val="16"/>
                <w:lang w:val="it-IT" w:eastAsia="en-US" w:bidi="ar-SA"/>
              </w:rPr>
              <w:t>/soggetto attuatore/fornitore di servizio dell'iscrizione a elenchi regionali e del rispetto degli impegni assunti ai sensi dell’avviso pubblico/bando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10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val="it-IT" w:eastAsia="it-IT" w:bidi="ar-SA"/>
              </w:rPr>
              <w:t>3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Calibri"/>
                <w:kern w:val="0"/>
                <w:sz w:val="16"/>
                <w:szCs w:val="16"/>
                <w:lang w:val="it-IT" w:eastAsia="en-US" w:bidi="ar-SA"/>
              </w:rPr>
              <w:t xml:space="preserve">Verifica adempimenti amministrativi relativi </w:t>
            </w:r>
            <w:r>
              <w:rPr>
                <w:rFonts w:eastAsia="Calibri"/>
                <w:kern w:val="0"/>
                <w:sz w:val="16"/>
                <w:szCs w:val="22"/>
                <w:lang w:val="it-IT" w:eastAsia="en-US" w:bidi="ar-SA"/>
              </w:rPr>
              <w:t>all'avvio: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kern w:val="0"/>
                <w:sz w:val="16"/>
                <w:szCs w:val="22"/>
                <w:lang w:val="it-IT" w:eastAsia="en-US" w:bidi="ar-SA"/>
              </w:rPr>
              <w:t>- regolarità dell'avvio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kern w:val="0"/>
                <w:sz w:val="16"/>
                <w:szCs w:val="22"/>
                <w:lang w:val="it-IT" w:eastAsia="en-US" w:bidi="ar-SA"/>
              </w:rPr>
              <w:t>- regolarità della trasmissione delle comunicazioni di avvio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Calibri" w:hAnsi="Calibri" w:eastAsia="Aptos" w:cs="Calibri"/>
                <w:sz w:val="16"/>
                <w:szCs w:val="16"/>
              </w:rPr>
            </w:pPr>
            <w:r>
              <w:rPr>
                <w:rFonts w:eastAsia="Calibri"/>
                <w:kern w:val="0"/>
                <w:sz w:val="16"/>
                <w:szCs w:val="22"/>
                <w:lang w:val="it-IT" w:eastAsia="en-US" w:bidi="ar-SA"/>
              </w:rPr>
              <w:t>- individuazione sede di svolgimento dell'attività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color w:val="C9211E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color w:val="C9211E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color w:val="C9211E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color w:val="C9211E"/>
                <w:sz w:val="16"/>
                <w:szCs w:val="16"/>
                <w:lang w:eastAsia="it-IT"/>
              </w:rPr>
            </w:r>
          </w:p>
        </w:tc>
      </w:tr>
      <w:tr>
        <w:trPr>
          <w:trHeight w:val="1410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3181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Aptos" w:cs="Calibri"/>
                <w:kern w:val="0"/>
                <w:sz w:val="16"/>
                <w:szCs w:val="16"/>
                <w:lang w:val="it-IT" w:eastAsia="en-US" w:bidi="ar-SA"/>
              </w:rPr>
              <w:t xml:space="preserve">Verifica adempimenti amministrativi relativi </w:t>
            </w:r>
            <w:r>
              <w:rPr>
                <w:rFonts w:eastAsia="Calibri"/>
                <w:kern w:val="0"/>
                <w:sz w:val="16"/>
                <w:szCs w:val="22"/>
                <w:lang w:val="it-IT" w:eastAsia="en-US" w:bidi="ar-SA"/>
              </w:rPr>
              <w:t xml:space="preserve">all'operazione (comunicazioni obbligatorie, regolarità delle dichiarazioni periodiche e della registrazione delle attività su procedura </w:t>
            </w:r>
            <w:r>
              <w:rPr>
                <w:rFonts w:eastAsia="Aptos" w:cs="Calibri"/>
                <w:kern w:val="0"/>
                <w:sz w:val="16"/>
                <w:szCs w:val="16"/>
                <w:lang w:val="it-IT" w:eastAsia="en-US" w:bidi="ar-SA"/>
              </w:rPr>
              <w:t>informatizzata e/o registri cartacei, timesheet e/o fogli presenza, relazioni e/o report, altra documentazione prevista nell’avviso pubblico/bando)</w:t>
            </w:r>
          </w:p>
        </w:tc>
        <w:tc>
          <w:tcPr>
            <w:tcW w:w="3516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10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3181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eastAsia="Aptos" w:cs="Calibri"/>
                <w:sz w:val="16"/>
                <w:szCs w:val="16"/>
              </w:rPr>
            </w:pPr>
            <w:r>
              <w:rPr>
                <w:rFonts w:eastAsia="Aptos" w:cs="Calibri"/>
                <w:kern w:val="0"/>
                <w:sz w:val="16"/>
                <w:szCs w:val="16"/>
                <w:lang w:val="it-IT" w:eastAsia="en-US" w:bidi="ar-SA"/>
              </w:rPr>
              <w:t>Verifica della documentazione comprovante il possesso dei requisiti da parte dei destinatari come da previsioni dell’avviso pubblico/bando</w:t>
            </w:r>
          </w:p>
        </w:tc>
        <w:tc>
          <w:tcPr>
            <w:tcW w:w="3516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6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obblighi pubblicitari e di visibilità (es.: bandi di selezione, modulistica, pubblicità sui social-media, ecc.)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7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dei principi orizzontali e delle priorità previste dall’avviso pubblico/bando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15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8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doppio finanziamento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09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adempimenti derivanti da eventuali prescrizioni impartite in precedenti controlli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74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b/>
                <w:bCs/>
                <w:kern w:val="0"/>
                <w:sz w:val="16"/>
                <w:szCs w:val="16"/>
                <w:lang w:val="it-IT" w:eastAsia="it-IT" w:bidi="ar-SA"/>
              </w:rPr>
              <w:t>10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Aptos" w:cs="Calibri"/>
                <w:sz w:val="16"/>
                <w:szCs w:val="16"/>
              </w:rPr>
            </w:pPr>
            <w:r>
              <w:rPr>
                <w:rFonts w:eastAsia="Aptos" w:cs="Calibri"/>
                <w:kern w:val="0"/>
                <w:sz w:val="16"/>
                <w:szCs w:val="16"/>
                <w:lang w:val="it-IT" w:eastAsia="en-US" w:bidi="ar-SA"/>
              </w:rPr>
              <w:t>Verifica dell’alimentazione del sistema informativo rispetto alla valorizzazione degli indicatori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/>
                <w:color w:val="C9211E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color w:val="C9211E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/>
                <w:color w:val="C9211E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color w:val="C9211E"/>
                <w:sz w:val="16"/>
                <w:szCs w:val="16"/>
                <w:lang w:eastAsia="it-IT"/>
              </w:rPr>
            </w:r>
          </w:p>
        </w:tc>
      </w:tr>
      <w:tr>
        <w:trPr>
          <w:trHeight w:val="1074" w:hRule="atLeast"/>
        </w:trPr>
        <w:tc>
          <w:tcPr>
            <w:tcW w:w="675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11</w:t>
            </w:r>
          </w:p>
        </w:tc>
        <w:tc>
          <w:tcPr>
            <w:tcW w:w="3181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Aptos" w:cs="Calibri" w:cstheme="minorHAnsi"/>
                <w:kern w:val="0"/>
                <w:sz w:val="16"/>
                <w:szCs w:val="16"/>
                <w:lang w:val="it-IT" w:eastAsia="en-US" w:bidi="ar-SA"/>
              </w:rPr>
              <w:t>Verifica dei dati inseriti nella domanda di rimborso e sull’adeguato completamento dell’attività finanziata e/o del raggiungimento del risultato.</w:t>
            </w:r>
          </w:p>
        </w:tc>
        <w:tc>
          <w:tcPr>
            <w:tcW w:w="3516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398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12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quota di cofinanziamento privato (anche nei casi in cui sia discendente dall’applicazione della normativa sugli aiuti di Stato)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224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13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di assenza di segnalazioni negative da parte dei destinatari o altri soggetti interessati</w:t>
            </w:r>
          </w:p>
        </w:tc>
        <w:tc>
          <w:tcPr>
            <w:tcW w:w="3516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b/>
          <w:bCs/>
          <w:i/>
          <w:i/>
          <w:i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NOTE:</w:t>
      </w:r>
    </w:p>
    <w:tbl>
      <w:tblPr>
        <w:tblStyle w:val="TableGrid"/>
        <w:tblW w:w="1460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01"/>
      </w:tblGrid>
      <w:tr>
        <w:trPr/>
        <w:tc>
          <w:tcPr>
            <w:tcW w:w="14601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418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Heading2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2" w:name="_Toc178840178"/>
      <w:bookmarkStart w:id="3" w:name="_Toc132812375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Istruzioni per i Controlli su S</w:t>
      </w:r>
      <w:bookmarkEnd w:id="3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OMME FORFETTARIE</w:t>
      </w:r>
      <w:bookmarkEnd w:id="2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1 - Verifica assenza irregolarità ex art. 2 co. 31 Reg. (UE) n. 2021/1060 ss.mm.ii.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Verifica dell’eventuale presenza di irregolarità accertata direttamente o segnalata nell’ambito della Programmazione FSE Plus 2021-2027 (il controllo è effettuato su tutte le informazioni disponibili presso l’AdG, includendo le eventuali segnalazioni di irregolarità emerse in controlli precedenti o ricevute da soggetti esterni).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 e regionale di riferimento.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irregolarità.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457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irregolarità.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 e degli elementi rilevati nel corso dei controlli attraverso la loro segnalazione al responsabile del procedimento.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2 - Verifica della presenza e mantenimento da parte del beneficiario/soggetto attuatore/fornitore di servizio dell'iscrizione a elenchi regionali e del rispetto degli impegni assunti ai sensi dell’avviso pubblico/bando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Verifica del possesso dei requisiti previsti dall’avviso pubblico/bando relativamente al beneficiario/soggetto attuatore/fornitore del servizio. Verifiche su legale rappresentante, titolare effettivo, composizione dell’eventuale partenariato, nonché relativamente all’iscrizione e al mantenimento in elenchi regionali all’avvio e durante lo svolgimento dell’attività sovvenzionata. Verifica del rispetto degli adempimenti/impegni assunti ai sensi dell’avviso pubblico/bando dal beneficiario/soggetto attuatore/ fornitore del servizio, ivi incluse la sottoscrizione e trasmissione dell’atto di adesione e la comunicazione di avvio/avvio anticipato delle attività. Verifica su comunicazioni variazioni. Corretta alimentazione procedura informatica ove previsto.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>Normativa regionale</w:t>
      </w:r>
    </w:p>
    <w:p>
      <w:pPr>
        <w:pStyle w:val="Standard"/>
        <w:numPr>
          <w:ilvl w:val="0"/>
          <w:numId w:val="4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>Avviso pubblico/Bando</w:t>
      </w:r>
    </w:p>
    <w:p>
      <w:pPr>
        <w:pStyle w:val="Standard"/>
        <w:numPr>
          <w:ilvl w:val="0"/>
          <w:numId w:val="4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>Domanda contributo, dichiarazioni e documenti inviati dal beneficiario/soggetto attuatore/fornitore del servizio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Requisiti presenti e impegni assunti correttamente adempiuti. I requisiti del beneficiario/soggetto attuatore/fornitore servizio non sono variati. Le eventuali variazioni sono state correttamente comunicate e autorizzate dall’Amministrazione competente.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Requisiti/impegni parzialmente non rispettati. Le eventuali variazioni dei requisiti del soggetto attuatore/fornitore servizio sono state solo parzialmente comunicate e autorizzate dall’Amministrazione competente.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Requisiti/impegni non rispettati. Le eventuali variazioni dei requisiti del soggetto attuatore/fornitore servizio non sono state comunicate e/o autorizzate dall’Amministrazione competente.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3 - Verifica adempimenti amministrativi relativi all'avvio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8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Il soggetto incaricato del controllo deve verificare il rispetto delle modalità previste dai singoli avvisi pubblici/bandi per l'avvio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8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delle attività. In particolare: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regolarità dell'avvio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regolarità della trasmissione delle comunicazioni di avvio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individuazione della sede di svolgimento dell'attività</w:t>
      </w:r>
    </w:p>
    <w:p>
      <w:pPr>
        <w:pStyle w:val="Normal"/>
        <w:jc w:val="both"/>
        <w:rPr/>
      </w:pPr>
      <w:r>
        <w:rPr/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Normativa regionale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Gli adempimenti relativi all’avvio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Gli adempimenti relativi all’avvio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 xml:space="preserve">sono stati effettuati solo </w:t>
            </w: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Gli adempimenti relativi all’avvio non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4 - Verifica adempimenti amministrativi relativi all'operazione</w:t>
      </w:r>
    </w:p>
    <w:p>
      <w:pPr>
        <w:pStyle w:val="Standard"/>
        <w:rPr>
          <w:rFonts w:ascii="Segoe UI Light" w:hAnsi="Segoe UI Light" w:eastAsia="Yu Gothic UI Semilight" w:cs="Segoe UI Light"/>
          <w:color w:val="C9211E"/>
          <w:sz w:val="20"/>
          <w:szCs w:val="18"/>
        </w:rPr>
      </w:pPr>
      <w:r>
        <w:rPr>
          <w:rFonts w:eastAsia="Yu Gothic UI Semilight" w:cs="Segoe UI Light" w:ascii="Segoe UI Light" w:hAnsi="Segoe UI Light"/>
          <w:color w:val="C9211E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Il soggetto incaricato del controllo deve verificare il rispetto delle tempistiche prevista relativamente alla registrazione delle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attività sulla procedura, dei termini previsti per l’invio dell’atto di adesione, delle dichiarazioni di avanzamento attività/domanda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di rimborso finale e delle comunicazioni obbligatorie. Si verifica, inoltre, se risultano attività multiple in relazione ai soggetti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coinvolti, con particolare riferimento alle ipotesi di doppio finanziamento.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Normativa regionale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val="000000"/>
          <w:kern w:val="0"/>
          <w:sz w:val="18"/>
          <w:szCs w:val="16"/>
          <w:lang w:eastAsia="en-US"/>
        </w:rPr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val="C9211E"/>
          <w:sz w:val="18"/>
          <w:szCs w:val="16"/>
        </w:rPr>
      </w:pPr>
      <w:r>
        <w:rPr>
          <w:rFonts w:eastAsia="Yu Gothic UI Semilight" w:cs="Segoe UI Light" w:ascii="Segoe UI Light" w:hAnsi="Segoe UI Light"/>
          <w:color w:val="C9211E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Gli adempimenti relativi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>all’operazione sono stati effettuati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>correttamente e autorizzati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dall’AdG/OI.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Gli adempimenti relativi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>all’operazione sono stati effettuati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solo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Gli adempimenti relativi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8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8"/>
                <w:lang w:val="it-IT" w:eastAsia="en-US" w:bidi="ar-SA"/>
              </w:rPr>
              <w:t>all’operazione non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val="C9211E"/>
          <w:sz w:val="18"/>
          <w:szCs w:val="16"/>
        </w:rPr>
      </w:pPr>
      <w:r>
        <w:rPr>
          <w:rFonts w:eastAsia="Yu Gothic UI Semilight" w:cs="Segoe UI Light" w:ascii="Segoe UI Light" w:hAnsi="Segoe UI Light"/>
          <w:color w:val="C9211E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5 - Verifica della documentazione comprovante il possesso dei requisiti da parte dei destinatari come da previsioni dell’avviso pubblico/bando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/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Verifica del possesso (e del mantenimento ove richiesto) dei requisiti previsti dall’avviso pubblico/bando relativamente ai destinatari finali </w:t>
      </w: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dell’attività</w:t>
      </w: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 sovvenzionata,</w:t>
      </w: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 xml:space="preserve"> </w:t>
      </w: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mediante controllo della relativa documentazione (documenti e dichiarazioni, successive comunicazioni obbligatorie), eventualmente anche ai fini dell’alimentazione degli indicatori.</w:t>
      </w:r>
    </w:p>
    <w:p>
      <w:pPr>
        <w:pStyle w:val="Normal"/>
        <w:jc w:val="both"/>
        <w:rPr/>
      </w:pPr>
      <w:r>
        <w:rPr/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Schede destinatari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 xml:space="preserve">Documenti e </w:t>
      </w: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6"/>
          <w:lang w:eastAsia="en-US"/>
        </w:rPr>
        <w:t>dichiarazioni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I requisiti dei destinatari corrispondono a quelli previsti dall’avviso pubblico/bando.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I requisiti dei destinatari corrispondono solo parzialmente a quelli previsti dall’avviso pubblico/bando.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I requisiti dei destinatari non corrispondono a quelli previsti dall’avviso pubblico/bando.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6 - Verifica degli obblighi pubblicitari e di visibilità (es.: bandi di selezione, modulistica, pubblicità sui social-media, ecc.)</w:t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Verifica del rispetto degli obblighi pubblicitari e della visibilità (presenza loghi, informazioni obbligatorie, ecc.), anche ai fini di quanto previsto dall’art. 50 co. 3 Reg. (UE) n. 2021/1060, come recepiti ed elaborati dalla Regione Piemonte all’interno della Strategia Unitaria di Comunicazione per la Programmazione 2021-2027 (mediante visione, ad es., di avviso pubblico, domande contributo e altra modulistica ove prevista, volantini/manifesti, siti web e social media, materiali/strumenti), compatibilmente con la tipologia di attività sovvenzionata.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6"/>
          <w:szCs w:val="14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nazionale e regionale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Piano di Comunicazione della Regione Piemonte per gli interventi del Fondo Sociale Europeo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beneficiario/</w:t>
      </w:r>
      <w:r>
        <w:rPr>
          <w:rFonts w:eastAsia="Yu Gothic UI Semilight" w:cs="Segoe UI Light" w:ascii="Segoe UI Light" w:hAnsi="Segoe UI Light"/>
          <w:kern w:val="0"/>
          <w:sz w:val="18"/>
          <w:szCs w:val="16"/>
          <w:lang w:eastAsia="en-US"/>
        </w:rPr>
        <w:t>soggetto attuatore/fornitore servizio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solo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non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Eventuale soppressione fino all’1%</w:t>
            </w: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*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 xml:space="preserve"> del sostegno dei fondi all’operazione interessata.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/>
          <w:i/>
          <w:iCs/>
          <w:sz w:val="16"/>
          <w:szCs w:val="16"/>
        </w:rPr>
        <w:t xml:space="preserve">* 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>Conformemente a quanto previsto dall’art. 50 par. 3 del Reg. (UE) n. 2021/1060 in merito al mancato rispetto da parte del beneficiario degli obblighi di cui agli artt. 47 e 50 par. 1-2, nel rispetto dei principi di proporzionalità e gradualità, e fatto comunque salvo il successivo riscontro di esaurienti azioni correttive poste in essere, si prevede quanto segue: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>- accertamento di violazioni/criticità marginali: nessuna conseguenza in merito al sostegno economico assegnato;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violazioni/criticità rilevanti: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dello 0,5%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gravi/rilevanti o ripetute/diffuse violazioni/criticità: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 1%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coinvolta.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eastAsia="Yu Gothic UI Semilight" w:cs="Segoe UI Light"/>
          <w:color w:val="000000"/>
          <w:sz w:val="18"/>
          <w:szCs w:val="16"/>
        </w:rPr>
      </w:pPr>
      <w:r>
        <w:rPr>
          <w:rFonts w:eastAsia="Yu Gothic UI Semilight" w:cs="Segoe UI Light" w:ascii="Segoe UI Light" w:hAnsi="Segoe UI Light"/>
          <w:bCs/>
          <w:i/>
          <w:iCs/>
          <w:color w:val="000000"/>
          <w:sz w:val="16"/>
          <w:szCs w:val="16"/>
        </w:rPr>
        <w:t xml:space="preserve">Le decurtazioni non trovano applicazione qualora siano state adottate esaurienti azioni correttive nel termine assegnato.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7 - Verifica dei principi orizzontali e delle priorità previsti dall’avviso pubblico/bando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eastAsia="Yu Gothic UI Semilight" w:cs="Segoe UI Light" w:ascii="Segoe UI Light" w:hAnsi="Segoe UI Light"/>
          <w:kern w:val="2"/>
          <w:sz w:val="20"/>
          <w:szCs w:val="18"/>
          <w:lang w:eastAsia="zh-CN"/>
        </w:rPr>
        <w:t>Verifica della rispondenza della documentazione presentata in fase istruttoria a supporto delle priorità e dei principi orizzontali previsti dall’avviso pubblico/bando (compatibilmente con la tipologia di attività sovvenzionata).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beneficiario/soggetto attuatore/fornitore del servizio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Rispondenza alle priorità e ai principi orizzontali previsti dall’avviso pubblico/bando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8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Mancata rispondenza alle priorità e ai principi orizzontali previsti dall’avviso pubblico/bando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Avvio della procedura di valutazione di fatti emersi, anche ai fini di un’eventuale applicazione di tassi di riduzione forfettaria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8 - Verifica assenza doppio finanziamento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Verifica della contemporaneità di eventuali attività multiple effettuate dai destinatari coinvolti nell’attività sovvenzionata (attività multipla) e dell’assenza di altro contributo pubblico concesso per la stessa attività al medesimo beneficiario/soggetto attuatore/fornitore servizio/destinatario (doppio finanziamento).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6"/>
          <w:szCs w:val="14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Normal"/>
        <w:numPr>
          <w:ilvl w:val="0"/>
          <w:numId w:val="2"/>
        </w:numPr>
        <w:jc w:val="both"/>
        <w:textAlignment w:val="auto"/>
        <w:rPr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unionale e nazionale</w:t>
      </w:r>
    </w:p>
    <w:p>
      <w:pPr>
        <w:pStyle w:val="Standard"/>
        <w:numPr>
          <w:ilvl w:val="0"/>
          <w:numId w:val="2"/>
        </w:numPr>
        <w:rPr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2"/>
        </w:numPr>
        <w:rPr>
          <w:sz w:val="18"/>
          <w:szCs w:val="18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beneficiario/soggetto attuatore/fornitore servizio/destinatario</w:t>
      </w:r>
    </w:p>
    <w:p>
      <w:pPr>
        <w:pStyle w:val="Standard"/>
        <w:numPr>
          <w:ilvl w:val="0"/>
          <w:numId w:val="2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kern w:val="0"/>
          <w:sz w:val="18"/>
          <w:szCs w:val="18"/>
          <w:lang w:eastAsia="en-US"/>
        </w:rPr>
        <w:t>Esito controlli enti terzi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procedure previste sono state effettuate correttamente.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L’operazione non risulta finanziata da più fonti e/o non risultano attività multiple in relazione ai destinatari coinvolti.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procedure previste sono state effettuate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9 - Verifica degli adempimenti derivanti da eventuali prescrizioni impartite in precedenti controlli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Verifica sulla presenza di eventuali prescrizioni impartite in precedenti controlli svolti sui medesimi beneficiari/soggetti attuatori/fornitori servizio di cui alla stessa operazione oggetto della sovvenzione, e controllo della loro regolarizzazione e del rispetto della tempistica assegnata.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cs="Segoe UI Light" w:ascii="Segoe UI Light" w:hAnsi="Segoe UI Light"/>
          <w:sz w:val="10"/>
          <w:szCs w:val="10"/>
        </w:rPr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cs="Segoe UI Light" w:ascii="Segoe UI Light" w:hAnsi="Segoe UI Light"/>
          <w:sz w:val="10"/>
          <w:szCs w:val="10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Precedenti verbali di controllo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beneficiario/</w:t>
      </w:r>
      <w:r>
        <w:rPr>
          <w:rFonts w:eastAsia="Yu Gothic UI Semilight" w:cs="Segoe UI Light" w:ascii="Segoe UI Light" w:hAnsi="Segoe UI Light"/>
          <w:kern w:val="0"/>
          <w:sz w:val="18"/>
          <w:szCs w:val="16"/>
          <w:lang w:eastAsia="en-US"/>
        </w:rPr>
        <w:t>soggetto attuatore/fornitore servizio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prescrizioni o rispetto delle prescrizioni ricevute.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Mancato rispetto delle prescrizioni ricevute.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L’effetto è da ricollegare allo specifico adempimento e/o prescrizione.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color w:val="C9211E"/>
        </w:rPr>
      </w:pPr>
      <w:r>
        <w:rPr>
          <w:rFonts w:eastAsia="Aptos" w:cs="Calibri" w:ascii="Segoe UI Light" w:hAnsi="Segoe UI Light" w:cstheme="minorHAnsi"/>
          <w:b/>
          <w:bCs/>
          <w:color w:val="2F5496"/>
          <w:kern w:val="0"/>
          <w:sz w:val="18"/>
          <w:szCs w:val="18"/>
          <w:lang w:eastAsia="en-US"/>
        </w:rPr>
        <w:t>ITEM 10 - Verifica dell’alimentazione del sistema informativo rispetto alla valorizzazione degli indicatori</w:t>
      </w:r>
    </w:p>
    <w:p>
      <w:pPr>
        <w:pStyle w:val="Standard"/>
        <w:rPr>
          <w:rFonts w:ascii="Segoe UI Light" w:hAnsi="Segoe UI Light" w:eastAsia="Aptos" w:cs="Calibri" w:cstheme="minorHAnsi"/>
          <w:b/>
          <w:bCs/>
          <w:color w:val="2F5496"/>
          <w:kern w:val="0"/>
          <w:sz w:val="18"/>
          <w:szCs w:val="18"/>
          <w:lang w:eastAsia="en-US"/>
        </w:rPr>
      </w:pPr>
      <w:r>
        <w:rPr>
          <w:rFonts w:eastAsia="Aptos" w:cs="Calibri" w:cstheme="minorHAnsi" w:ascii="Segoe UI Light" w:hAnsi="Segoe UI Light"/>
          <w:b/>
          <w:bCs/>
          <w:color w:val="2F5496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Il soggetto incaricato del controllo deve verificare che i dati del partecipante siano stati inseriti sul sistema informativo in modo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completo e coerente.</w:t>
      </w:r>
    </w:p>
    <w:p>
      <w:pPr>
        <w:pStyle w:val="Normal"/>
        <w:jc w:val="both"/>
        <w:rPr>
          <w:rFonts w:ascii="Segoe UI Light" w:hAnsi="Segoe UI Light" w:cs="Segoe UI Light"/>
          <w:color w:val="C9211E"/>
          <w:sz w:val="10"/>
          <w:szCs w:val="10"/>
        </w:rPr>
      </w:pPr>
      <w:r>
        <w:rPr>
          <w:rFonts w:cs="Segoe UI Light" w:ascii="Segoe UI Light" w:hAnsi="Segoe UI Light"/>
          <w:color w:val="C9211E"/>
          <w:sz w:val="10"/>
          <w:szCs w:val="10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Normal"/>
        <w:rPr>
          <w:rFonts w:ascii="SegoeUILight" w:hAnsi="SegoeUILight"/>
          <w:sz w:val="18"/>
        </w:rPr>
      </w:pPr>
      <w:r>
        <w:rPr>
          <w:rFonts w:ascii="SegoeUILight" w:hAnsi="SegoeUILight"/>
          <w:sz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Il sistema informativo è stato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alimentato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color w:val="000000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eastAsia="Calibri"/>
                <w:sz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Si rilevano imprecisioni rispetto alla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>corretta alimentazione del sistema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>informativo.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Regolarizzazione degli adempimenti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ascii="SegoeUILight" w:hAnsi="SegoeUILight"/>
                <w:kern w:val="0"/>
                <w:sz w:val="16"/>
                <w:szCs w:val="22"/>
                <w:lang w:val="it-IT" w:eastAsia="en-US" w:bidi="ar-SA"/>
              </w:rPr>
              <w:t>entro il termine ordinatorio di 5 giorni</w:t>
            </w:r>
          </w:p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Mancato inserimento dei dati corretti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UILight" w:hAnsi="SegoeUILight"/>
                <w:kern w:val="0"/>
                <w:sz w:val="16"/>
                <w:szCs w:val="16"/>
                <w:lang w:val="it-IT" w:eastAsia="en-US" w:bidi="ar-SA"/>
              </w:rPr>
              <w:t>a sistema.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L’effetto è da ricollegare allo specifico adempimento e/o prescrizione.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val="C9211E"/>
          <w:sz w:val="18"/>
          <w:szCs w:val="16"/>
        </w:rPr>
      </w:pPr>
      <w:r>
        <w:rPr>
          <w:rFonts w:eastAsia="Yu Gothic UI Semilight" w:cs="Segoe UI Light" w:ascii="Segoe UI Light" w:hAnsi="Segoe UI Light"/>
          <w:color w:val="C9211E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 xml:space="preserve">ITEM 11 - </w:t>
      </w:r>
      <w:r>
        <w:rPr>
          <w:rFonts w:eastAsia="Aptos" w:cs="Calibri" w:ascii="Segoe UI Light" w:hAnsi="Segoe UI Light" w:cstheme="minorHAnsi"/>
          <w:b/>
          <w:bCs/>
          <w:color w:val="2F5496"/>
          <w:kern w:val="0"/>
          <w:sz w:val="18"/>
          <w:szCs w:val="18"/>
          <w:lang w:eastAsia="en-US"/>
        </w:rPr>
        <w:t xml:space="preserve">Verifica dei dati inseriti nella domanda di rimborso e dell’adeguato completamento dell’attività sovvenzionata e/o del raggiungimento del risultato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 xml:space="preserve">Il soggetto incaricato del controllo deve verificare la correttezza e la completezza dei dati inseriti nelle domande di rimborso/dichiarazione di avanzamento attività, l’adeguatezza dell’eventuale documentazione amministrativa e contabile richiesta dall’avviso pubblico/bando, la corrispondenza dei dati su registri informatici e cartacei, nonché la conformità degli incarichi riferiti al personale coinvolto nell’operazione, ove previsti. È oggetto di controllo anche il rispetto delle tempistiche per l’invio delle domande di rimborso/dichiarazioni di avanzamento. Inoltre, dev’essere verificato l’adeguato completamento dell’attività sovvenzionata/servizio fornito e/o il raggiungimento del risultato </w:t>
      </w:r>
    </w:p>
    <w:p>
      <w:pPr>
        <w:pStyle w:val="Standard"/>
        <w:rPr>
          <w:rFonts w:ascii="Segoe UI Light" w:hAnsi="Segoe UI Light" w:eastAsia="Yu Gothic UI Semilight" w:cs="Segoe UI Light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Nel caso in cui l’AdG o l’OI o l’ente strumentale / in house dell’AdG risultasse soggetto beneficiario della sovvenzione sarà altresì verificata la correttezza delle domande di contributo, nonché la corrispondenza tra l’importo richiesto e quanto liquidato (se già effettuato il pagamento al momento del controllo).</w:t>
      </w:r>
    </w:p>
    <w:p>
      <w:pPr>
        <w:pStyle w:val="Standard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Normal"/>
        <w:numPr>
          <w:ilvl w:val="0"/>
          <w:numId w:val="2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unionale, nazionale,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Normal"/>
        <w:numPr>
          <w:ilvl w:val="0"/>
          <w:numId w:val="2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Domanda di rimborso/dichiarazione avanzamento attività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 xml:space="preserve">Dichiarazioni, documenti, registri/documentazione attestante l’attività svolta, presentati dal beneficiario/soggetto attuatore/fornitore servizio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52"/>
        <w:gridCol w:w="2790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52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790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5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Regolarità/ammissibilità della spesa inserita nella domanda di rimborso.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Attività completata regolarmente e/o risultato previsto raggiunto</w:t>
            </w:r>
          </w:p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  <w:tc>
          <w:tcPr>
            <w:tcW w:w="27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fill="FFCDD2" w:val="clear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5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regolarità/ammissibilità della spesa inserita nella domanda di rimborso. Attività svolta non conformemente a quanto previsto dall’avviso pubblico/bando e/o risultato previsto non raggiunto</w:t>
            </w:r>
          </w:p>
        </w:tc>
        <w:tc>
          <w:tcPr>
            <w:tcW w:w="27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color w:themeColor="accent1" w:themeShade="bf" w:val="2F549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12 - Verifica quota cofinanziamento privato (anche nei casi in cui sia discendente dall'applicazione della normativa sugli aiuti di Stato)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  <w:shd w:fill="FFFF00" w:val="clear"/>
        </w:rPr>
      </w:pPr>
      <w:r>
        <w:rPr>
          <w:rFonts w:eastAsia="Yu Gothic UI Semilight" w:cs="Segoe UI Light" w:ascii="Segoe UI Light" w:hAnsi="Segoe UI Light"/>
          <w:sz w:val="20"/>
          <w:szCs w:val="18"/>
          <w:shd w:fill="FFFF00" w:val="clear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corretta esposizione della quota di cofinanziamento privato, se prevista. Il controllo deve riguardare la corretta dimostrazione delle spese a supporto dell’attestazione della quota di cofinanziamento obbligatorio o facoltativo.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beneficiario/soggetto attuatore/fornitore del servizio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9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9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Corretta esposizione della documentazione a supporto della quota minima di cofinanziamento privato o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corretta esposizione della documentazione a supporto della quota minima di cofinanziamento privato o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13 - Verifica di assenza di segnalazioni negative da parte dei destinatari o altri soggetti interessati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 xml:space="preserve">Verifica dell’eventuale presenza di segnalazioni da parte dei destinatari dell’attività sovvenzionata o, comunque, di altri soggetti interessati </w:t>
      </w:r>
      <w:r>
        <w:rPr>
          <w:rFonts w:eastAsia="Yu Gothic UI Semilight" w:cs="Segoe UI Light" w:ascii="Segoe UI Light" w:hAnsi="Segoe UI Light"/>
          <w:color w:val="000000"/>
          <w:sz w:val="18"/>
          <w:szCs w:val="16"/>
        </w:rPr>
        <w:t>(inclusi beneficiari/soggetti attuatori/fornitori del servizio)</w:t>
      </w:r>
      <w:r>
        <w:rPr>
          <w:rFonts w:eastAsia="Yu Gothic UI Semilight" w:cs="Segoe UI Light" w:ascii="Segoe UI Light" w:hAnsi="Segoe UI Light"/>
          <w:sz w:val="18"/>
          <w:szCs w:val="16"/>
        </w:rPr>
        <w:t xml:space="preserve">, accertandone la fondatezza ed evidenziandone le motivazioni ove pertinenti, anche al fine di eventuale avviare, nei casi più gravi, la revoca del contributo e l’eventuale recupero delle somme corrisposte non dovute o la sospensione, anche definitiva, dell’attività sovvenzionata. </w:t>
      </w:r>
      <w:r>
        <w:rPr>
          <w:rFonts w:eastAsia="Calibri" w:cs="Segoe UI Light" w:ascii="Segoe UI Light" w:hAnsi="Segoe UI Light"/>
          <w:color w:val="000000"/>
          <w:sz w:val="18"/>
          <w:szCs w:val="18"/>
        </w:rPr>
        <w:t>l controllore deve verificare la presenza di segnalazioni anche negli eventuali questionari di soddisfazione somministrati, se previsto dall’avviso pubblico/bando e/o dal progetto approvato, nel corso della verifica, evidenziandone le motivazioni ove apparentemente fondate e pertinenti.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6"/>
          <w:szCs w:val="14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ListParagraph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Comunicazioni/segnalazioni/reclami destinatari/altri soggetti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segnalazioni.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fondate segnalazioni su aspetti critici rilevanti dell’attività finanziata.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1134" w:right="1134" w:gutter="0" w:header="709" w:top="1134" w:footer="709" w:bottom="141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SegoeUI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07752851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4755317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41485555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  <w:drawing>
        <wp:inline distT="0" distB="0" distL="0" distR="0">
          <wp:extent cx="6120130" cy="55054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cd0bd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f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e8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uiPriority w:val="99"/>
    <w:qFormat/>
    <w:rsid w:val="00cd0bd7"/>
    <w:rPr/>
  </w:style>
  <w:style w:type="character" w:styleId="HeaderChar" w:customStyle="1">
    <w:name w:val="Header Char"/>
    <w:basedOn w:val="DefaultParagraphFont"/>
    <w:uiPriority w:val="99"/>
    <w:qFormat/>
    <w:rsid w:val="00cd0bd7"/>
    <w:rPr/>
  </w:style>
  <w:style w:type="character" w:styleId="StandardCarattere" w:customStyle="1">
    <w:name w:val="Standard Carattere"/>
    <w:basedOn w:val="DefaultParagraphFont"/>
    <w:link w:val="Standard"/>
    <w:qFormat/>
    <w:rsid w:val="00cd0bd7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Heading1Char" w:customStyle="1">
    <w:name w:val="Heading 1 Char"/>
    <w:basedOn w:val="DefaultParagraphFont"/>
    <w:uiPriority w:val="9"/>
    <w:qFormat/>
    <w:rsid w:val="00d95f8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b53f4"/>
    <w:rPr>
      <w:color w:themeColor="hyperlink" w:val="0563C1"/>
      <w:u w:val="single"/>
    </w:rPr>
  </w:style>
  <w:style w:type="character" w:styleId="Heading2Char" w:customStyle="1">
    <w:name w:val="Heading 2 Char"/>
    <w:basedOn w:val="DefaultParagraphFont"/>
    <w:uiPriority w:val="9"/>
    <w:qFormat/>
    <w:rsid w:val="00f13e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UnresolvedMention">
    <w:name w:val="Unresolved Mention"/>
    <w:basedOn w:val="DefaultParagraphFont"/>
    <w:uiPriority w:val="99"/>
    <w:qFormat/>
    <w:rsid w:val="00fc1246"/>
    <w:rPr>
      <w:color w:val="605E5C"/>
      <w:shd w:fill="E1DFDD" w:val="clear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e73f21"/>
    <w:rPr>
      <w:sz w:val="20"/>
      <w:szCs w:val="20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e73f21"/>
    <w:rPr>
      <w:vertAlign w:val="superscript"/>
    </w:rPr>
  </w:style>
  <w:style w:type="character" w:styleId="Annotationreference">
    <w:name w:val="annotation reference"/>
    <w:qFormat/>
    <w:rsid w:val="00337b4c"/>
    <w:rPr>
      <w:sz w:val="16"/>
      <w:szCs w:val="16"/>
    </w:rPr>
  </w:style>
  <w:style w:type="character" w:styleId="Saltoaindice" w:customStyle="1">
    <w:name w:val="Salto a indice"/>
    <w:qFormat/>
    <w:rPr/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link w:val="StandardCarattere"/>
    <w:qFormat/>
    <w:rsid w:val="00cd0bd7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cd0bd7"/>
    <w:pPr>
      <w:widowControl/>
      <w:spacing w:lineRule="auto" w:line="259" w:before="0" w:after="160"/>
      <w:textAlignment w:val="auto"/>
    </w:pPr>
    <w:rPr>
      <w:rFonts w:cs="" w:cstheme="minorBidi"/>
    </w:rPr>
  </w:style>
  <w:style w:type="paragraph" w:styleId="Footer">
    <w:name w:val="Footer"/>
    <w:basedOn w:val="Normal"/>
    <w:link w:val="FooterChar"/>
    <w:uiPriority w:val="99"/>
    <w:unhideWhenUsed/>
    <w:rsid w:val="00cd0bd7"/>
    <w:pPr>
      <w:tabs>
        <w:tab w:val="clear" w:pos="720"/>
        <w:tab w:val="center" w:pos="4819" w:leader="none"/>
        <w:tab w:val="right" w:pos="9638" w:leader="none"/>
      </w:tabs>
    </w:pPr>
    <w:rPr>
      <w:rFonts w:cs="" w:cstheme="minorBidi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d95f8d"/>
    <w:pPr>
      <w:widowControl/>
      <w:suppressAutoHyphens w:val="false"/>
      <w:spacing w:lineRule="auto" w:line="259"/>
      <w:textAlignment w:val="auto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d95f8d"/>
    <w:pPr>
      <w:spacing w:before="0" w:after="100"/>
    </w:pPr>
    <w:rPr/>
  </w:style>
  <w:style w:type="paragraph" w:styleId="ListParagraph">
    <w:name w:val="List Paragraph"/>
    <w:basedOn w:val="Standard"/>
    <w:uiPriority w:val="34"/>
    <w:qFormat/>
    <w:rsid w:val="00f13e82"/>
    <w:pPr>
      <w:spacing w:before="0" w:after="160"/>
      <w:ind w:left="72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f13e82"/>
    <w:pPr>
      <w:spacing w:before="0" w:after="100"/>
      <w:ind w:left="22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e73f21"/>
    <w:pPr>
      <w:widowControl/>
      <w:suppressAutoHyphens w:val="false"/>
      <w:textAlignment w:val="auto"/>
    </w:pPr>
    <w:rPr>
      <w:rFonts w:cs="" w:cstheme="minorBid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73f21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dexheading1">
    <w:name w:val="index heading1"/>
    <w:basedOn w:val="Titolo"/>
    <w:qFormat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Indexheading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f13e82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leGrid">
    <w:name w:val="Table Grid"/>
    <w:basedOn w:val="TableNormal"/>
    <w:uiPriority w:val="39"/>
    <w:rsid w:val="001035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<Relationship Id="rId2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B03D40A2EB5C448B6F3D50D6C0E861" ma:contentTypeVersion="14" ma:contentTypeDescription="Creare un nuovo documento." ma:contentTypeScope="" ma:versionID="ccdb5059ccdf1fcec7e49d1cb8c7dea1">
  <xsd:schema xmlns:xsd="http://www.w3.org/2001/XMLSchema" xmlns:xs="http://www.w3.org/2001/XMLSchema" xmlns:p="http://schemas.microsoft.com/office/2006/metadata/properties" xmlns:ns2="089c57cc-c4b4-46f8-9d09-4335fb0693d5" xmlns:ns3="e85cac51-5eb1-42a4-96df-67fc907b8fdc" targetNamespace="http://schemas.microsoft.com/office/2006/metadata/properties" ma:root="true" ma:fieldsID="3b6bfa7313b91dd8e561f7ae574f8836" ns2:_="" ns3:_="">
    <xsd:import namespace="089c57cc-c4b4-46f8-9d09-4335fb0693d5"/>
    <xsd:import namespace="e85cac51-5eb1-42a4-96df-67fc907b8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c57cc-c4b4-46f8-9d09-4335fb069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e8f6321-3efa-45d8-abfe-eea1c039a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ac51-5eb1-42a4-96df-67fc907b8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6ab2519-f931-428d-afb9-cd5523284e1f}" ma:internalName="TaxCatchAll" ma:showField="CatchAllData" ma:web="e85cac51-5eb1-42a4-96df-67fc907b8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cac51-5eb1-42a4-96df-67fc907b8fdc" xsi:nil="true"/>
    <lcf76f155ced4ddcb4097134ff3c332f xmlns="089c57cc-c4b4-46f8-9d09-4335fb0693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44D9F-2B19-4716-8BA5-16A9B018F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0DAA7-7C68-4045-BDEC-C413AC4DDFBF}"/>
</file>

<file path=customXml/itemProps3.xml><?xml version="1.0" encoding="utf-8"?>
<ds:datastoreItem xmlns:ds="http://schemas.openxmlformats.org/officeDocument/2006/customXml" ds:itemID="{7AAF1809-27ED-41AE-80CB-3FA325594502}">
  <ds:schemaRefs>
    <ds:schemaRef ds:uri="http://schemas.microsoft.com/office/2006/metadata/properties"/>
    <ds:schemaRef ds:uri="http://schemas.microsoft.com/office/infopath/2007/PartnerControls"/>
    <ds:schemaRef ds:uri="e85cac51-5eb1-42a4-96df-67fc907b8fdc"/>
    <ds:schemaRef ds:uri="089c57cc-c4b4-46f8-9d09-4335fb0693d5"/>
  </ds:schemaRefs>
</ds:datastoreItem>
</file>

<file path=customXml/itemProps4.xml><?xml version="1.0" encoding="utf-8"?>
<ds:datastoreItem xmlns:ds="http://schemas.openxmlformats.org/officeDocument/2006/customXml" ds:itemID="{6B8DBB34-E061-45C8-BFB1-C548FB640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Application>LibreOffice/7.6.6.3$Windows_X86_64 LibreOffice_project/d97b2716a9a4a2ce1391dee1765565ea469b0ae7</Application>
  <AppVersion>15.0000</AppVersion>
  <Pages>14</Pages>
  <Words>3046</Words>
  <Characters>21001</Characters>
  <CharactersWithSpaces>23586</CharactersWithSpaces>
  <Paragraphs>443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2023-04-06T09:50:00Z</dcterms:created>
  <dc:creator>aldo</dc:creator>
  <dc:description/>
  <dc:language>it-IT</dc:language>
  <cp:lastModifiedBy/>
  <cp:lastPrinted>2024-09-12T14:39:00Z</cp:lastPrinted>
  <dcterms:modified xsi:type="dcterms:W3CDTF">2025-11-04T14:02:30Z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0x010100B6B03D40A2EB5C448B6F3D50D6C0E861</vt:lpwstr>
  </property>
  <property fmtid="{D5CDD505-2E9C-101B-9397-08002B2CF9AE}" pid="3" name="MediaServiceImageTags">
    <vt:lpwstr/>
  </property>
</Properties>
</file>