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left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28"/>
          <w:szCs w:val="28"/>
        </w:rPr>
      </w:r>
    </w:p>
    <w:p>
      <w:pPr>
        <w:pStyle w:val="Standard"/>
        <w:spacing w:lineRule="auto" w:line="240"/>
        <w:jc w:val="right"/>
        <w:rPr>
          <w:rFonts w:ascii="Segoe UI Light" w:hAnsi="Segoe UI Light" w:eastAsia="Yu Gothic UI Semilight" w:cs="Segoe UI Light"/>
          <w:b/>
          <w:bCs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28"/>
          <w:szCs w:val="28"/>
        </w:rPr>
      </w:r>
    </w:p>
    <w:p>
      <w:pPr>
        <w:pStyle w:val="Standard"/>
        <w:spacing w:lineRule="auto" w:line="240"/>
        <w:jc w:val="right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CHECK LIST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E ISTRUZIONI PER I CONTROLLI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  <w:t>SOVVENZIONI DIRETTE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AD USO DEL PERSONALE DELLE AMMINISTRAZIONI CHE GESTISCONO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IL FONDO SOCIALE EUROPEO E DEI BENEFICIARI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color w:val="2F5496"/>
          <w:sz w:val="28"/>
          <w:szCs w:val="28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0000FF"/>
        </w:rPr>
      </w:pPr>
      <w:r>
        <w:rPr>
          <w:rFonts w:eastAsia="Yu Gothic UI Semilight" w:cs="Segoe UI Light" w:ascii="Segoe UI Light" w:hAnsi="Segoe UI Light"/>
          <w:color w:val="0000FF"/>
        </w:rPr>
      </w:r>
    </w:p>
    <w:p>
      <w:pPr>
        <w:pStyle w:val="Standard"/>
        <w:jc w:val="center"/>
        <w:rPr>
          <w:rFonts w:ascii="Segoe UI Light" w:hAnsi="Segoe UI Light" w:eastAsia="Yu Gothic UI Semilight" w:cs="Segoe UI Light"/>
        </w:rPr>
      </w:pPr>
      <w:r>
        <w:rPr>
          <w:rFonts w:eastAsia="Yu Gothic UI Semilight" w:cs="Segoe UI Light" w:ascii="Segoe UI Light" w:hAnsi="Segoe UI Light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568" w:top="625" w:footer="720" w:bottom="1272"/>
          <w:pgNumType w:fmt="decimal"/>
          <w:formProt w:val="false"/>
          <w:textDirection w:val="lrTb"/>
          <w:docGrid w:type="default" w:linePitch="100" w:charSpace="24576"/>
        </w:sect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>All. “13” alle Linee Guida per la gestione e il controllo PR FSE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>+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 xml:space="preserve"> 21-27</w:t>
      </w:r>
    </w:p>
    <w:tbl>
      <w:tblPr>
        <w:tblW w:w="5000" w:type="pct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946"/>
      </w:tblGrid>
      <w:tr>
        <w:trPr>
          <w:trHeight w:val="254" w:hRule="atLeast"/>
        </w:trPr>
        <w:tc>
          <w:tcPr>
            <w:tcW w:w="1394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rFonts w:ascii="Segoe UI Light" w:hAnsi="Segoe UI Light" w:eastAsia="Yu Gothic UI Semilight" w:cs="Segoe UI Light"/>
                <w:b/>
                <w:bCs/>
                <w:i/>
                <w:i/>
                <w:iCs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i/>
                <w:iCs/>
                <w:color w:val="2F5496"/>
              </w:rPr>
              <w:t>INDICE DELLE REVISIONI</w:t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tbl>
      <w:tblPr>
        <w:tblW w:w="5000" w:type="pct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5"/>
        <w:gridCol w:w="1240"/>
        <w:gridCol w:w="747"/>
        <w:gridCol w:w="8331"/>
        <w:gridCol w:w="1442"/>
        <w:gridCol w:w="1350"/>
      </w:tblGrid>
      <w:tr>
        <w:trPr>
          <w:trHeight w:val="439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Rev.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D.D.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Descrizione delle modifiche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Paragrafo</w:t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Pagina/e</w:t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  <w:t>Rev. 00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00/00/0000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00-000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PRIMA EMISSIONE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1134" w:right="1758" w:gutter="0" w:header="567" w:top="1134" w:footer="0" w:bottom="720"/>
          <w:pgNumType w:fmt="decimal"/>
          <w:formProt w:val="false"/>
          <w:textDirection w:val="lrTb"/>
          <w:docGrid w:type="default" w:linePitch="100" w:charSpace="24576"/>
        </w:sectPr>
        <w:pStyle w:val="Normal"/>
        <w:jc w:val="center"/>
        <w:rPr>
          <w:rFonts w:ascii="Segoe UI Light" w:hAnsi="Segoe UI Light" w:eastAsia="Yu Gothic UI Semilight" w:cs="Segoe UI Light"/>
          <w:color w:val="2F5496"/>
          <w:sz w:val="24"/>
          <w:szCs w:val="24"/>
        </w:rPr>
      </w:pPr>
      <w:r>
        <w:rPr>
          <w:rFonts w:eastAsia="Yu Gothic UI Semilight" w:cs="Segoe UI Light" w:ascii="Segoe UI Light" w:hAnsi="Segoe UI Light"/>
          <w:color w:val="2F5496"/>
          <w:sz w:val="24"/>
          <w:szCs w:val="24"/>
        </w:rPr>
        <w:fldChar w:fldCharType="begin"/>
      </w:r>
      <w:r>
        <w:rPr>
          <w:sz w:val="24"/>
          <w:szCs w:val="24"/>
          <w:rFonts w:eastAsia="Yu Gothic UI Semilight" w:cs="Segoe UI Light" w:ascii="Segoe UI Light" w:hAnsi="Segoe UI Light"/>
          <w:color w:val="2F5496"/>
        </w:rPr>
        <w:instrText xml:space="preserve"> PAGE </w:instrText>
      </w:r>
      <w:r>
        <w:rPr>
          <w:sz w:val="24"/>
          <w:szCs w:val="24"/>
          <w:rFonts w:eastAsia="Yu Gothic UI Semilight" w:cs="Segoe UI Light" w:ascii="Segoe UI Light" w:hAnsi="Segoe UI Light"/>
          <w:color w:val="2F5496"/>
        </w:rPr>
        <w:fldChar w:fldCharType="separate"/>
      </w:r>
      <w:r>
        <w:rPr>
          <w:sz w:val="24"/>
          <w:szCs w:val="24"/>
          <w:rFonts w:eastAsia="Yu Gothic UI Semilight" w:cs="Segoe UI Light" w:ascii="Segoe UI Light" w:hAnsi="Segoe UI Light"/>
          <w:color w:val="2F5496"/>
        </w:rPr>
        <w:t>2</w:t>
      </w:r>
      <w:r>
        <w:rPr>
          <w:sz w:val="24"/>
          <w:szCs w:val="24"/>
          <w:rFonts w:eastAsia="Yu Gothic UI Semilight" w:cs="Segoe UI Light" w:ascii="Segoe UI Light" w:hAnsi="Segoe UI Light"/>
          <w:color w:val="2F5496"/>
        </w:rPr>
        <w:fldChar w:fldCharType="end"/>
      </w:r>
    </w:p>
    <w:p>
      <w:pPr>
        <w:pStyle w:val="Normal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color w:val="2F5496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Calibri" w:hAnsi="Calibri"/>
            </w:rPr>
          </w:pPr>
          <w:r>
            <w:rPr>
              <w:rFonts w:ascii="Calibri" w:hAnsi="Calibri"/>
            </w:rPr>
            <w:t>Sommario</w:t>
          </w:r>
        </w:p>
        <w:p>
          <w:pPr>
            <w:pStyle w:val="TOC2"/>
            <w:tabs>
              <w:tab w:val="clear" w:pos="13936"/>
              <w:tab w:val="right" w:pos="10052" w:leader="dot"/>
            </w:tabs>
            <w:rPr/>
          </w:pPr>
          <w:r>
            <w:fldChar w:fldCharType="begin"/>
          </w:r>
          <w:r>
            <w:rPr>
              <w:rStyle w:val="Saltoaindice"/>
              <w:sz w:val="22"/>
              <w:b/>
              <w:kern w:val="0"/>
              <w:szCs w:val="22"/>
              <w:bCs/>
              <w:rFonts w:eastAsia="Calibri" w:cs="Tahoma" w:ascii="Segoe UI Light" w:hAnsi="Segoe UI Light"/>
              <w:color w:val="auto"/>
              <w:lang w:val="it-IT" w:eastAsia="en-US" w:bidi="ar-SA"/>
            </w:rPr>
            <w:instrText xml:space="preserve"> TOC \o "1-3" \h</w:instrText>
          </w:r>
          <w:r>
            <w:rPr>
              <w:rStyle w:val="Saltoaindice"/>
              <w:sz w:val="22"/>
              <w:b/>
              <w:kern w:val="0"/>
              <w:szCs w:val="22"/>
              <w:bCs/>
              <w:rFonts w:eastAsia="Calibri" w:cs="Tahoma" w:ascii="Segoe UI Light" w:hAnsi="Segoe UI Light"/>
              <w:color w:val="auto"/>
              <w:lang w:val="it-IT" w:eastAsia="en-US" w:bidi="ar-SA"/>
            </w:rPr>
            <w:fldChar w:fldCharType="separate"/>
          </w:r>
          <w:hyperlink w:anchor="__RefHeading___Toc3136_3652008834">
            <w:r>
              <w:rPr>
                <w:rStyle w:val="Saltoaindice"/>
                <w:rFonts w:eastAsia="Calibri" w:cs="Tahoma" w:ascii="Segoe UI Light" w:hAnsi="Segoe UI Light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Check list per i Controlli su SOVVENZIONI DIRETTE</w:t>
              <w:tab/>
              <w:t>4</w:t>
            </w:r>
          </w:hyperlink>
        </w:p>
        <w:p>
          <w:pPr>
            <w:pStyle w:val="TOC2"/>
            <w:tabs>
              <w:tab w:val="clear" w:pos="13936"/>
              <w:tab w:val="right" w:pos="10052" w:leader="dot"/>
            </w:tabs>
            <w:rPr/>
          </w:pPr>
          <w:hyperlink w:anchor="__RefHeading___Toc3138_3652008834">
            <w:r>
              <w:rPr>
                <w:rStyle w:val="Saltoaindice"/>
                <w:rFonts w:eastAsia="Calibri" w:cs="Tahoma" w:ascii="Segoe UI Light" w:hAnsi="Segoe UI Light" w:eastAsia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Istruzioni per i Controlli su SOVVENZIONI DIRETTE</w:t>
            </w:r>
            <w:r>
              <w:rPr>
                <w:rStyle w:val="Saltoaindice"/>
                <w:rFonts w:eastAsia="Calibri" w:cs="Tahoma" w:ascii="Segoe UI Light" w:hAnsi="Segoe UI Light" w:eastAsiaTheme="minorHAnsi"/>
                <w:b w:val="false"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ab/>
              <w:t>7</w:t>
            </w:r>
          </w:hyperlink>
          <w:r>
            <w:rPr>
              <w:rStyle w:val="Saltoaindice"/>
              <w:sz w:val="22"/>
              <w:b w:val="false"/>
              <w:kern w:val="0"/>
              <w:szCs w:val="22"/>
              <w:bCs/>
              <w:rFonts w:eastAsia="Calibri" w:cs="Tahoma" w:ascii="Segoe UI Light" w:hAnsi="Segoe UI Light"/>
              <w:color w:val="auto"/>
              <w:lang w:val="it-IT" w:eastAsia="en-US" w:bidi="ar-SA"/>
            </w:rPr>
            <w:fldChar w:fldCharType="end"/>
          </w:r>
        </w:p>
        <w:p>
          <w:pPr>
            <w:sectPr>
              <w:headerReference w:type="default" r:id="rId8"/>
              <w:headerReference w:type="first" r:id="rId9"/>
              <w:footerReference w:type="default" r:id="rId10"/>
              <w:footerReference w:type="first" r:id="rId11"/>
              <w:type w:val="nextPage"/>
              <w:pgSz w:w="11906" w:h="16838"/>
              <w:pgMar w:left="1134" w:right="720" w:gutter="0" w:header="567" w:top="1758" w:footer="1134" w:bottom="1686"/>
              <w:pgNumType w:fmt="decimal"/>
              <w:formProt w:val="false"/>
              <w:textDirection w:val="lrTb"/>
              <w:docGrid w:type="default" w:linePitch="100" w:charSpace="24576"/>
            </w:sectPr>
          </w:pPr>
        </w:p>
      </w:sdtContent>
    </w:sdt>
    <w:p>
      <w:pPr>
        <w:pStyle w:val="Normal"/>
        <w:jc w:val="center"/>
        <w:rPr>
          <w:rFonts w:eastAsia="Yu Gothic UI Semilight"/>
          <w:sz w:val="18"/>
          <w:szCs w:val="18"/>
        </w:rPr>
      </w:pPr>
      <w:r>
        <w:rPr/>
        <w:drawing>
          <wp:inline distT="0" distB="0" distL="0" distR="0">
            <wp:extent cx="5988050" cy="489585"/>
            <wp:effectExtent l="0" t="0" r="0" b="0"/>
            <wp:docPr id="2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jc w:val="center"/>
        <w:rPr>
          <w:rFonts w:ascii="Segoe UI Light" w:hAnsi="Segoe UI Light" w:eastAsia="Yu Gothic UI Semilight" w:cs="Segoe UI Light"/>
          <w:b/>
          <w:bCs/>
        </w:rPr>
      </w:pPr>
      <w:r>
        <w:rPr>
          <w:rFonts w:eastAsia="Yu Gothic UI Semilight" w:cs="Segoe UI Light" w:ascii="Segoe UI Light" w:hAnsi="Segoe UI Light"/>
          <w:b/>
          <w:bCs/>
        </w:rPr>
      </w:r>
    </w:p>
    <w:p>
      <w:pPr>
        <w:pStyle w:val="Heading2"/>
        <w:jc w:val="center"/>
        <w:rPr>
          <w:sz w:val="24"/>
          <w:szCs w:val="24"/>
        </w:rPr>
      </w:pPr>
      <w:bookmarkStart w:id="0" w:name="__RefHeading___Toc3136_3652008834"/>
      <w:bookmarkStart w:id="1" w:name="_Toc132812374"/>
      <w:bookmarkStart w:id="2" w:name="_Toc177050764"/>
      <w:bookmarkEnd w:id="0"/>
      <w:r>
        <w:rPr>
          <w:rFonts w:eastAsia="Yu Gothic UI Semilight" w:cs="Segoe UI Light" w:ascii="Segoe UI Light" w:hAnsi="Segoe UI Light"/>
          <w:b/>
          <w:bCs/>
          <w:sz w:val="24"/>
          <w:szCs w:val="24"/>
        </w:rPr>
        <w:t>Check list per i Controlli su SOVVENZIONI DIRETTE</w:t>
      </w:r>
      <w:bookmarkEnd w:id="1"/>
      <w:bookmarkEnd w:id="2"/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tbl>
      <w:tblPr>
        <w:tblStyle w:val="TableGrid"/>
        <w:tblW w:w="14222" w:type="dxa"/>
        <w:jc w:val="left"/>
        <w:tblInd w:w="-6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"/>
        <w:gridCol w:w="3180"/>
        <w:gridCol w:w="3510"/>
        <w:gridCol w:w="2780"/>
        <w:gridCol w:w="1240"/>
        <w:gridCol w:w="2891"/>
      </w:tblGrid>
      <w:tr>
        <w:trPr>
          <w:tblHeader w:val="true"/>
          <w:trHeight w:val="2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</w:rPr>
            </w:pPr>
            <w:r>
              <w:rPr>
                <w:sz w:val="2"/>
              </w:rPr>
            </w:r>
            <w:bookmarkStart w:id="3" w:name="_538b856b_721e_4a10_bc1f_70b27f3a051d"/>
            <w:bookmarkStart w:id="4" w:name="_538b856b_721e_4a10_bc1f_70b27f3a051d"/>
            <w:bookmarkEnd w:id="4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blHeader w:val="true"/>
          <w:trHeight w:val="409" w:hRule="atLeast"/>
        </w:trPr>
        <w:tc>
          <w:tcPr>
            <w:tcW w:w="620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N°</w:t>
            </w:r>
          </w:p>
        </w:tc>
        <w:tc>
          <w:tcPr>
            <w:tcW w:w="3180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ITEM</w:t>
            </w:r>
          </w:p>
        </w:tc>
        <w:tc>
          <w:tcPr>
            <w:tcW w:w="3510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CLASSIFICAZIONE DEL CONTROLLO</w:t>
            </w:r>
          </w:p>
        </w:tc>
        <w:tc>
          <w:tcPr>
            <w:tcW w:w="2780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ESITO</w:t>
            </w:r>
          </w:p>
        </w:tc>
        <w:tc>
          <w:tcPr>
            <w:tcW w:w="1240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MOTIVAZIONE</w:t>
            </w:r>
          </w:p>
        </w:tc>
        <w:tc>
          <w:tcPr>
            <w:tcW w:w="2891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PRESCRIZIONE / RACCOMANDAZIONE</w:t>
            </w:r>
          </w:p>
        </w:tc>
      </w:tr>
      <w:tr>
        <w:trPr>
          <w:trHeight w:val="1148" w:hRule="atLeast"/>
        </w:trPr>
        <w:tc>
          <w:tcPr>
            <w:tcW w:w="620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</w:t>
            </w:r>
          </w:p>
        </w:tc>
        <w:tc>
          <w:tcPr>
            <w:tcW w:w="3180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irregolarità ex art. 2 co. 31 Reg. (UE) n. 2021/1060 ss.mm.ii.</w:t>
            </w:r>
          </w:p>
        </w:tc>
        <w:tc>
          <w:tcPr>
            <w:tcW w:w="3510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236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auto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Aptos" w:cs="Calibri"/>
                <w:b w:val="false"/>
                <w:bCs w:val="false"/>
                <w:i w:val="false"/>
                <w:iCs w:val="false"/>
                <w:color w:val="auto"/>
                <w:sz w:val="16"/>
                <w:szCs w:val="16"/>
              </w:rPr>
              <w:t xml:space="preserve">Verifica degli adempimenti amministrativi relativi all’operazione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22"/>
                <w:lang w:val="it-IT" w:eastAsia="en-US" w:bidi="ar-SA"/>
              </w:rPr>
              <w:t xml:space="preserve">(comunicazioni obbligatorie, </w:t>
            </w:r>
            <w:r>
              <w:rPr>
                <w:rFonts w:eastAsia="Aptos" w:cs="Calibri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it-IT" w:eastAsia="en-US" w:bidi="ar-SA"/>
              </w:rPr>
              <w:t>altra documentazione prevista nell’avviso pubblico/bando)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236" w:hRule="atLeast"/>
        </w:trPr>
        <w:tc>
          <w:tcPr>
            <w:tcW w:w="62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auto"/>
                <w:kern w:val="0"/>
                <w:sz w:val="16"/>
                <w:szCs w:val="16"/>
                <w:lang w:val="it-IT" w:eastAsia="it-IT" w:bidi="ar-SA"/>
              </w:rPr>
              <w:t>3</w:t>
            </w:r>
          </w:p>
        </w:tc>
        <w:tc>
          <w:tcPr>
            <w:tcW w:w="31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Aptos" w:cs="Calibri" w:cstheme="minorHAnsi"/>
                <w:b w:val="false"/>
                <w:bCs w:val="false"/>
                <w:color w:val="auto"/>
                <w:kern w:val="0"/>
                <w:sz w:val="16"/>
                <w:szCs w:val="16"/>
                <w:lang w:val="it-IT" w:eastAsia="en-US" w:bidi="ar-SA"/>
              </w:rPr>
              <w:t>Verifica della documentazione comprovante il possesso dei requisiti da parte dei destinatari come previsti nell’avviso pubblico/bando</w:t>
            </w:r>
          </w:p>
        </w:tc>
        <w:tc>
          <w:tcPr>
            <w:tcW w:w="35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10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auto"/>
                <w:kern w:val="0"/>
                <w:sz w:val="16"/>
                <w:szCs w:val="16"/>
                <w:lang w:val="it-IT" w:eastAsia="it-IT" w:bidi="ar-SA"/>
              </w:rPr>
              <w:t>4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Aptos" w:cs="Calibri"/>
                <w:b w:val="false"/>
                <w:bCs w:val="false"/>
                <w:color w:val="auto"/>
                <w:kern w:val="0"/>
                <w:sz w:val="16"/>
                <w:szCs w:val="16"/>
                <w:lang w:val="it-IT" w:eastAsia="en-US" w:bidi="ar-SA"/>
              </w:rPr>
              <w:t>Verifica della presenza e mantenimento da parte del beneficiario/soggetto attuatore/fornitore di servizio dell'iscrizione a elenchi regionali e del rispetto degli impegni assunti ai sensi dell’avviso pubblico/bando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auto"/>
                <w:kern w:val="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b w:val="false"/>
                <w:bCs w:val="false"/>
                <w:color w:val="auto"/>
                <w:sz w:val="22"/>
              </w:rPr>
            </w:pPr>
            <w:r>
              <w:rPr>
                <w:rFonts w:eastAsia="Times New Roman" w:cs="Calibri" w:cstheme="minorHAnsi"/>
                <w:b w:val="false"/>
                <w:bCs w:val="false"/>
                <w:color w:val="auto"/>
                <w:kern w:val="0"/>
                <w:sz w:val="16"/>
                <w:szCs w:val="16"/>
                <w:lang w:val="it-IT" w:eastAsia="it-IT" w:bidi="ar-SA"/>
              </w:rPr>
              <w:t>Verifica degli obblighi pubblicitari e di visibilità (es.: bandi di selezione, modulistica, pubblicità sui social-media, ecc.)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455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6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dei principi orizzontali e delle priorità previste dall’avviso pubblico/bando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15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7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doppio finanziamento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09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8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adempimenti derivanti da eventuali prescrizioni impartite in precedenti controlli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09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9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Aptos" w:cs="Calibri"/>
                <w:kern w:val="0"/>
                <w:sz w:val="16"/>
                <w:szCs w:val="16"/>
                <w:lang w:val="it-IT" w:bidi="ar-SA"/>
              </w:rPr>
              <w:t>Verifica dell’alimentazione del sistema informativo rispetto alla valorizzazione degli indicatori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074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10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su completezza e conformità delle domande di accesso ed erogazione del contributo, nonché sull’</w:t>
            </w:r>
            <w:r>
              <w:rPr>
                <w:rFonts w:eastAsia="Aptos" w:cs="Calibri" w:cstheme="minorHAnsi"/>
                <w:kern w:val="0"/>
                <w:sz w:val="16"/>
                <w:szCs w:val="16"/>
                <w:lang w:val="it-IT" w:bidi="ar-SA"/>
              </w:rPr>
              <w:t>adeguato svolgimento dell’attività sovvenzionata e/o del raggiungimento del risultato ove previsto (in caso di gestione con opzioni di costo semplificato)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/>
                <w:sz w:val="16"/>
                <w:szCs w:val="16"/>
                <w:lang w:eastAsia="it-IT"/>
              </w:rPr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074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11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corrispondenza tra avanzamento finanziario e preventivo approvato, verifica dell’ammissibilità della spesa e dell’avanzamento tecnico-fisico (in caso di gestione a costi reali)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398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12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quota di cofinanziamento privato (anche nei casi in cui sia discendente dall’applicazione della normativa sugli aiuti di Stato)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b/>
                <w:bCs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068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color w:val="auto"/>
                <w:sz w:val="22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13</w:t>
            </w:r>
          </w:p>
        </w:tc>
        <w:tc>
          <w:tcPr>
            <w:tcW w:w="31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di assenza di segnalazioni negative da parte dei destinatari o altri soggetti interessati</w:t>
            </w:r>
          </w:p>
        </w:tc>
        <w:tc>
          <w:tcPr>
            <w:tcW w:w="351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eastAsia="Times New Roman" w:cs="Calibri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NOTE:</w:t>
      </w:r>
    </w:p>
    <w:tbl>
      <w:tblPr>
        <w:tblStyle w:val="TableGrid"/>
        <w:tblW w:w="1460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01"/>
      </w:tblGrid>
      <w:tr>
        <w:trPr/>
        <w:tc>
          <w:tcPr>
            <w:tcW w:w="14601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</w:tc>
      </w:tr>
    </w:tbl>
    <w:p>
      <w:pPr>
        <w:sectPr>
          <w:headerReference w:type="default" r:id="rId13"/>
          <w:headerReference w:type="first" r:id="rId14"/>
          <w:footerReference w:type="default" r:id="rId15"/>
          <w:footerReference w:type="first" r:id="rId16"/>
          <w:type w:val="nextPage"/>
          <w:pgSz w:orient="landscape" w:w="16838" w:h="11906"/>
          <w:pgMar w:left="1418" w:right="1134" w:gutter="0" w:header="709" w:top="1134" w:footer="709" w:bottom="1135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Heading2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5" w:name="__RefHeading___Toc3138_3652008834"/>
      <w:bookmarkStart w:id="6" w:name="_Toc132812375"/>
      <w:bookmarkStart w:id="7" w:name="_Toc177050765"/>
      <w:bookmarkEnd w:id="5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Istruzioni per i Controlli su SOVVENZIONI DIRETTE</w:t>
      </w:r>
      <w:bookmarkEnd w:id="6"/>
      <w:bookmarkEnd w:id="7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 xml:space="preserve">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1 - Verifica assenza irregolarità ex art. 2 co. 31 Reg. (UE) n. 2021/1060 ss.mm.ii.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Verifica dell’eventuale presenza di irregolarità accertata direttamente o segnalata nell’ambito della Programmazione FSE Plus 2021-2027 (il controllo è effettuato su tutte le informazioni disponibili presso l’AdG, includendo le eventuali segnalazioni di irregolarità emerse in controlli precedenti o ricevute da soggetti esterni).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 e regionale di riferimento.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irregolarità.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457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irregolarità.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 e degli elementi rilevati nel corso dei controlli attraverso la loro segnalazione al responsabile del procedimento.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fill="D9E2F3"/>
        <w:spacing w:lineRule="auto" w:line="276"/>
        <w:rPr>
          <w:rFonts w:ascii="Segoe UI Light" w:hAnsi="Segoe UI Light" w:eastAsia="Yu Gothic UI Semilight" w:cs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ITEM 2 - Verifica degli adempimenti amministrativi relativi all'operazione</w:t>
      </w:r>
    </w:p>
    <w:p>
      <w:pPr>
        <w:pStyle w:val="Standard"/>
        <w:spacing w:lineRule="auto" w:line="276"/>
        <w:rPr>
          <w:rFonts w:ascii="Segoe UI Light" w:hAnsi="Segoe UI Light" w:eastAsia="Yu Gothic UI Semilight" w:cs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r>
    </w:p>
    <w:p>
      <w:pPr>
        <w:pStyle w:val="Standard"/>
        <w:spacing w:lineRule="auto" w:line="276"/>
        <w:rPr>
          <w:rFonts w:ascii="Segoe UI Light" w:hAnsi="Segoe UI Light" w:eastAsia="Yu Gothic UI Semilight" w:cs="Segoe UI Light"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kern w:val="2"/>
          <w:sz w:val="18"/>
          <w:szCs w:val="16"/>
          <w:lang w:val="it-IT" w:eastAsia="zh-CN" w:bidi="ar-SA"/>
        </w:rPr>
        <w:t>Modalità di controllo</w:t>
      </w:r>
    </w:p>
    <w:p>
      <w:pPr>
        <w:pStyle w:val="Normal"/>
        <w:jc w:val="both"/>
        <w:rPr/>
      </w:pPr>
      <w:r>
        <w:rPr>
          <w:rFonts w:eastAsia="Yu Gothic UI Semilight" w:cs="Segoe UI Light" w:ascii="Segoe UI Light" w:hAnsi="Segoe UI Light"/>
          <w:color w:val="auto"/>
          <w:kern w:val="2"/>
          <w:sz w:val="18"/>
          <w:szCs w:val="16"/>
          <w:lang w:val="it-IT" w:eastAsia="zh-CN" w:bidi="ar-SA"/>
        </w:rPr>
        <w:t xml:space="preserve">Il soggetto incaricato del controllo deve verificare il rispetto degli adempimenti amministrativi specificatamente previsti dai singoli avvisi pubblici/bandi (es. regolarità dell'avvio, invio atto adesione, eventuale registrazione delle attività sulle procedure,  invio altre comunicazioni obbligatorie, ecc.). 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val="auto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color w:val="auto"/>
          <w:kern w:val="2"/>
          <w:sz w:val="18"/>
          <w:szCs w:val="16"/>
          <w:lang w:val="it-IT" w:eastAsia="zh-CN" w:bidi="ar-SA"/>
        </w:rPr>
      </w:r>
    </w:p>
    <w:p>
      <w:pPr>
        <w:pStyle w:val="Standard"/>
        <w:spacing w:lineRule="auto" w:line="276"/>
        <w:rPr>
          <w:rFonts w:ascii="Segoe UI Light" w:hAnsi="Segoe UI Light" w:eastAsia="Yu Gothic UI Semilight" w:cs="Segoe UI Light"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kern w:val="2"/>
          <w:sz w:val="18"/>
          <w:szCs w:val="16"/>
          <w:lang w:val="it-IT" w:eastAsia="zh-CN" w:bidi="ar-SA"/>
        </w:rPr>
        <w:t>Fonti di riferimento</w:t>
      </w:r>
    </w:p>
    <w:p>
      <w:pPr>
        <w:pStyle w:val="Standard"/>
        <w:numPr>
          <w:ilvl w:val="0"/>
          <w:numId w:val="6"/>
        </w:numPr>
        <w:spacing w:lineRule="auto" w:line="276"/>
        <w:ind w:hanging="360" w:left="720" w:right="0"/>
        <w:rPr>
          <w:color w:val="auto"/>
        </w:rPr>
      </w:pPr>
      <w:r>
        <w:rPr>
          <w:rFonts w:eastAsia="Segoe UI Light" w:cs="Segoe UI Light" w:ascii="Segoe UI Light" w:hAnsi="Segoe UI Light"/>
          <w:color w:val="auto"/>
          <w:kern w:val="0"/>
          <w:sz w:val="18"/>
          <w:szCs w:val="16"/>
          <w:lang w:eastAsia="en-US"/>
        </w:rPr>
        <w:t>Normativa regionale</w:t>
      </w:r>
    </w:p>
    <w:p>
      <w:pPr>
        <w:pStyle w:val="Standard"/>
        <w:numPr>
          <w:ilvl w:val="0"/>
          <w:numId w:val="6"/>
        </w:numPr>
        <w:spacing w:lineRule="auto" w:line="276"/>
        <w:ind w:hanging="360" w:left="720" w:right="0"/>
        <w:rPr>
          <w:color w:val="auto"/>
        </w:rPr>
      </w:pPr>
      <w:r>
        <w:rPr>
          <w:rFonts w:eastAsia="Segoe UI Light" w:cs="Segoe UI Light" w:ascii="Segoe UI Light" w:hAnsi="Segoe UI Light"/>
          <w:color w:val="auto"/>
          <w:kern w:val="0"/>
          <w:sz w:val="18"/>
          <w:szCs w:val="16"/>
          <w:lang w:eastAsia="en-US"/>
        </w:rPr>
        <w:t>Avviso pubblico/Bando</w:t>
      </w:r>
    </w:p>
    <w:p>
      <w:pPr>
        <w:pStyle w:val="Standard"/>
        <w:numPr>
          <w:ilvl w:val="0"/>
          <w:numId w:val="6"/>
        </w:numPr>
        <w:spacing w:lineRule="auto" w:line="276"/>
        <w:ind w:hanging="360" w:left="720" w:right="0"/>
        <w:rPr>
          <w:color w:val="auto"/>
        </w:rPr>
      </w:pPr>
      <w:r>
        <w:rPr>
          <w:rFonts w:eastAsia="Segoe UI Light" w:cs="Segoe UI Light" w:ascii="Segoe UI Light" w:hAnsi="Segoe UI Light"/>
          <w:color w:val="auto"/>
          <w:kern w:val="0"/>
          <w:sz w:val="18"/>
          <w:szCs w:val="16"/>
          <w:lang w:eastAsia="en-US"/>
        </w:rPr>
        <w:t>Dichiarazioni e documenti inviati dal beneficiario</w:t>
      </w:r>
    </w:p>
    <w:p>
      <w:pPr>
        <w:pStyle w:val="Standard"/>
        <w:spacing w:lineRule="auto" w:line="276"/>
        <w:rPr>
          <w:rFonts w:ascii="Segoe UI Light" w:hAnsi="Segoe UI Light" w:eastAsia="Segoe UI Light" w:cs="Segoe UI Light"/>
          <w:color w:val="C9211E"/>
          <w:sz w:val="18"/>
          <w:szCs w:val="16"/>
        </w:rPr>
      </w:pPr>
      <w:r>
        <w:rPr>
          <w:rFonts w:eastAsia="Segoe UI Light" w:cs="Segoe UI Light" w:ascii="Segoe UI Light" w:hAnsi="Segoe UI Light"/>
          <w:color w:val="C9211E"/>
          <w:sz w:val="18"/>
          <w:szCs w:val="16"/>
        </w:rPr>
      </w:r>
    </w:p>
    <w:p>
      <w:pPr>
        <w:pStyle w:val="Standard"/>
        <w:spacing w:lineRule="auto" w:line="276"/>
        <w:rPr>
          <w:rFonts w:ascii="Segoe UI Light" w:hAnsi="Segoe UI Light" w:eastAsia="Yu Gothic UI Semilight" w:cs="Segoe UI Light"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kern w:val="2"/>
          <w:sz w:val="18"/>
          <w:szCs w:val="16"/>
          <w:lang w:val="it-IT" w:eastAsia="zh-CN" w:bidi="ar-SA"/>
        </w:rPr>
        <w:t xml:space="preserve">Classificazione degli esiti del controllo, delle prescrizioni e degli effetti </w:t>
      </w:r>
    </w:p>
    <w:tbl>
      <w:tblPr>
        <w:tblW w:w="100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707"/>
        <w:gridCol w:w="2839"/>
        <w:gridCol w:w="2552"/>
      </w:tblGrid>
      <w:tr>
        <w:trPr/>
        <w:tc>
          <w:tcPr>
            <w:tcW w:w="1960" w:type="dxa"/>
            <w:tcBorders>
              <w:top w:val="single" w:sz="4" w:space="0" w:color="B4C6E7"/>
              <w:left w:val="single" w:sz="4" w:space="0" w:color="B4C6E7"/>
              <w:bottom w:val="single" w:sz="12" w:space="0" w:color="4472C4"/>
              <w:right w:val="single" w:sz="4" w:space="0" w:color="B4C6E7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Esito controllo</w:t>
            </w:r>
          </w:p>
        </w:tc>
        <w:tc>
          <w:tcPr>
            <w:tcW w:w="2707" w:type="dxa"/>
            <w:tcBorders>
              <w:top w:val="single" w:sz="4" w:space="0" w:color="B4C6E7"/>
              <w:left w:val="single" w:sz="4" w:space="0" w:color="B4C6E7"/>
              <w:bottom w:val="single" w:sz="12" w:space="0" w:color="4472C4"/>
              <w:right w:val="single" w:sz="4" w:space="0" w:color="B4C6E7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Motivazione</w:t>
            </w:r>
          </w:p>
        </w:tc>
        <w:tc>
          <w:tcPr>
            <w:tcW w:w="2839" w:type="dxa"/>
            <w:tcBorders>
              <w:top w:val="single" w:sz="4" w:space="0" w:color="B4C6E7"/>
              <w:left w:val="single" w:sz="4" w:space="0" w:color="B4C6E7"/>
              <w:bottom w:val="single" w:sz="12" w:space="0" w:color="4472C4"/>
              <w:right w:val="single" w:sz="4" w:space="0" w:color="B4C6E7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Prescrizione/Raccomandazione</w:t>
            </w:r>
          </w:p>
        </w:tc>
        <w:tc>
          <w:tcPr>
            <w:tcW w:w="2552" w:type="dxa"/>
            <w:tcBorders>
              <w:top w:val="single" w:sz="4" w:space="0" w:color="B4C6E7"/>
              <w:left w:val="single" w:sz="4" w:space="0" w:color="B4C6E7"/>
              <w:bottom w:val="single" w:sz="12" w:space="0" w:color="4472C4"/>
              <w:right w:val="single" w:sz="4" w:space="0" w:color="B4C6E7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Positivo</w:t>
            </w:r>
          </w:p>
        </w:tc>
        <w:tc>
          <w:tcPr>
            <w:tcW w:w="270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color w:val="auto"/>
              </w:rPr>
            </w:pPr>
            <w:r>
              <w:rPr>
                <w:rFonts w:eastAsia="Segoe UI Light" w:cs="SegoeUILight" w:ascii="SegoeUILight" w:hAnsi="SegoeUILight"/>
                <w:color w:val="auto"/>
                <w:kern w:val="0"/>
                <w:sz w:val="16"/>
                <w:szCs w:val="18"/>
                <w:lang w:eastAsia="ar-SA"/>
              </w:rPr>
              <w:t xml:space="preserve">Gli adempimenti amministrativi relativi </w:t>
            </w:r>
            <w:r>
              <w:rPr>
                <w:rFonts w:eastAsia="Calibri" w:cs="SegoeUILight" w:ascii="SegoeUILight" w:hAnsi="SegoeUILight"/>
                <w:color w:val="auto"/>
                <w:kern w:val="0"/>
                <w:sz w:val="16"/>
                <w:szCs w:val="22"/>
                <w:lang w:eastAsia="ar-SA"/>
              </w:rPr>
              <w:t>all’operazione sono stati effettuati correttamente</w:t>
            </w:r>
            <w:r>
              <w:rPr>
                <w:rFonts w:eastAsia="Segoe UI Light" w:cs="SegoeUILight" w:ascii="SegoeUILight" w:hAnsi="SegoeUILight"/>
                <w:color w:val="auto"/>
                <w:kern w:val="0"/>
                <w:sz w:val="16"/>
                <w:szCs w:val="18"/>
                <w:lang w:eastAsia="ar-SA"/>
              </w:rPr>
              <w:t>.</w:t>
            </w:r>
          </w:p>
        </w:tc>
        <w:tc>
          <w:tcPr>
            <w:tcW w:w="28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color w:val="auto"/>
                <w:kern w:val="0"/>
                <w:sz w:val="16"/>
                <w:szCs w:val="18"/>
                <w:lang w:eastAsia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color w:val="auto"/>
                <w:kern w:val="0"/>
                <w:sz w:val="16"/>
                <w:szCs w:val="18"/>
                <w:lang w:eastAsia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Positivo con raccomandazione</w:t>
            </w:r>
          </w:p>
        </w:tc>
        <w:tc>
          <w:tcPr>
            <w:tcW w:w="809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color w:val="auto"/>
                <w:kern w:val="0"/>
                <w:sz w:val="16"/>
                <w:szCs w:val="16"/>
                <w:lang w:eastAsia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Positivo con prescrizione</w:t>
            </w:r>
          </w:p>
        </w:tc>
        <w:tc>
          <w:tcPr>
            <w:tcW w:w="270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color w:val="auto"/>
              </w:rPr>
            </w:pPr>
            <w:r>
              <w:rPr>
                <w:rFonts w:eastAsia="Segoe UI Light" w:cs="SegoeUILight" w:ascii="SegoeUILight" w:hAnsi="SegoeUILight"/>
                <w:color w:val="auto"/>
                <w:kern w:val="0"/>
                <w:sz w:val="16"/>
                <w:szCs w:val="18"/>
                <w:lang w:eastAsia="ar-SA"/>
              </w:rPr>
              <w:t xml:space="preserve">Gli adempimenti amministrativi relativi </w:t>
            </w:r>
            <w:r>
              <w:rPr>
                <w:rFonts w:eastAsia="Calibri" w:cs="SegoeUILight" w:ascii="SegoeUILight" w:hAnsi="SegoeUILight"/>
                <w:color w:val="auto"/>
                <w:kern w:val="0"/>
                <w:sz w:val="16"/>
                <w:szCs w:val="22"/>
                <w:lang w:eastAsia="ar-SA"/>
              </w:rPr>
              <w:t xml:space="preserve">all’operazione sono stati effettuati </w:t>
            </w:r>
            <w:r>
              <w:rPr>
                <w:rFonts w:eastAsia="Segoe UI Light" w:cs="SegoeUILight" w:ascii="SegoeUILight" w:hAnsi="SegoeUILight"/>
                <w:color w:val="auto"/>
                <w:kern w:val="0"/>
                <w:sz w:val="16"/>
                <w:szCs w:val="18"/>
                <w:lang w:eastAsia="ar-SA"/>
              </w:rPr>
              <w:t>solo parzialmente.</w:t>
            </w:r>
          </w:p>
        </w:tc>
        <w:tc>
          <w:tcPr>
            <w:tcW w:w="28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color w:val="auto"/>
                <w:kern w:val="0"/>
                <w:sz w:val="16"/>
                <w:szCs w:val="16"/>
                <w:lang w:eastAsia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color w:val="auto"/>
                <w:kern w:val="0"/>
                <w:sz w:val="16"/>
                <w:szCs w:val="18"/>
                <w:lang w:eastAsia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b/>
                <w:bCs/>
                <w:color w:val="auto"/>
                <w:kern w:val="0"/>
                <w:sz w:val="16"/>
                <w:szCs w:val="16"/>
                <w:lang w:eastAsia="ar-SA"/>
              </w:rPr>
              <w:t>Negativo</w:t>
            </w:r>
          </w:p>
        </w:tc>
        <w:tc>
          <w:tcPr>
            <w:tcW w:w="270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color w:val="auto"/>
              </w:rPr>
            </w:pPr>
            <w:r>
              <w:rPr>
                <w:rFonts w:eastAsia="Segoe UI Light" w:cs="SegoeUILight" w:ascii="SegoeUILight" w:hAnsi="SegoeUILight"/>
                <w:color w:val="auto"/>
                <w:kern w:val="0"/>
                <w:sz w:val="16"/>
                <w:szCs w:val="18"/>
                <w:lang w:eastAsia="ar-SA"/>
              </w:rPr>
              <w:t>Gli adempimenti amministrativi relativi all’operazione non sono stati effettuati correttamente.</w:t>
            </w:r>
          </w:p>
        </w:tc>
        <w:tc>
          <w:tcPr>
            <w:tcW w:w="28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color w:val="auto"/>
                <w:kern w:val="0"/>
                <w:sz w:val="16"/>
                <w:szCs w:val="18"/>
                <w:lang w:eastAsia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color w:val="auto"/>
              </w:rPr>
            </w:pPr>
            <w:r>
              <w:rPr>
                <w:rFonts w:eastAsia="Segoe UI Light" w:cs="Segoe UI Light" w:ascii="Segoe UI Light" w:hAnsi="Segoe UI Light"/>
                <w:color w:val="auto"/>
                <w:kern w:val="0"/>
                <w:sz w:val="16"/>
                <w:szCs w:val="18"/>
                <w:lang w:eastAsia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widowControl w:val="false"/>
        <w:spacing w:lineRule="auto" w:line="276"/>
        <w:rPr>
          <w:rFonts w:ascii="Segoe UI Light" w:hAnsi="Segoe UI Light" w:eastAsia="Segoe UI Light" w:cs="Segoe UI Light"/>
          <w:color w:val="C9211E"/>
          <w:sz w:val="18"/>
          <w:szCs w:val="16"/>
        </w:rPr>
      </w:pPr>
      <w:r>
        <w:rPr>
          <w:rFonts w:eastAsia="Segoe UI Light" w:cs="Segoe UI Light" w:ascii="Segoe UI Light" w:hAnsi="Segoe UI Light"/>
          <w:color w:val="C9211E"/>
          <w:sz w:val="18"/>
          <w:szCs w:val="16"/>
        </w:rPr>
      </w:r>
    </w:p>
    <w:p>
      <w:pPr>
        <w:pStyle w:val="Normal"/>
        <w:rPr>
          <w:rFonts w:ascii="Segoe UI Light" w:hAnsi="Segoe UI Light" w:eastAsia="Yu Gothic UI Semilight" w:cs="Segoe UI Light"/>
          <w:color w:val="C9211E"/>
          <w:sz w:val="18"/>
          <w:szCs w:val="16"/>
        </w:rPr>
      </w:pPr>
      <w:r>
        <w:rPr>
          <w:rFonts w:eastAsia="Yu Gothic UI Semilight" w:cs="Segoe UI Light" w:ascii="Segoe UI Light" w:hAnsi="Segoe UI Light"/>
          <w:color w:val="C9211E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/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EM 3 - Ver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ifica della documentazione comprovante il possesso dei requisiti da parte dei destinatari come previsti nell’avviso pubblico/bando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/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/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Verifica del possesso e del mantenimento dei requisiti previsti dall’avviso pubblico/bando relativamente ai destinatari finali </w:t>
      </w: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del</w:t>
      </w: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 contributo</w:t>
      </w: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 xml:space="preserve"> </w:t>
      </w: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 xml:space="preserve">mediante controllo della relativa documentazione (domanda contributo, documenti allegati e dichiarazioni presentate, successive comunicazioni obbligatorie), eventualmente anche ai fini dell’alimentazione degli indicatori. </w:t>
      </w: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Corretta alimentazione procedura informatica ove previsto.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/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Schede anagrafiche dei destinatari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Documenti attestanti l'effettiva partecipazione del soggetto alle attività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Yu Gothic UI Semilight" w:cs="Segoe UI Light" w:ascii="Segoe UI Light" w:hAnsi="Segoe UI Light"/>
          <w:color w:val="000000"/>
          <w:kern w:val="0"/>
          <w:sz w:val="18"/>
          <w:szCs w:val="18"/>
          <w:lang w:eastAsia="en-US"/>
        </w:rPr>
        <w:t>Domanda contributo e relativi allegati/documenti/dichiarazioni dei destinatari</w:t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</w:r>
    </w:p>
    <w:p>
      <w:pPr>
        <w:pStyle w:val="Standard"/>
        <w:rPr/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I requisiti dei destinatari corrispondono a quelli previsti dall’avviso pubblico/bando. Le eventuali variazioni sono state correttamente comunicate e autorizzate dall’AdG/OI.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I requisiti dei destinatari corrispondono solo parzialmente a quelli previsti dall’avviso pubblico/bando. Le eventuali variazioni dei requisiti dei destinatari</w:t>
            </w:r>
            <w:r>
              <w:rPr>
                <w:rFonts w:eastAsia="Calibri" w:cs="Segoe UI Light" w:ascii="Segoe UI Light" w:hAnsi="Segoe UI Light"/>
                <w:b/>
                <w:bCs/>
                <w:strike/>
                <w:kern w:val="0"/>
                <w:sz w:val="16"/>
                <w:szCs w:val="18"/>
                <w:lang w:val="it-IT" w:eastAsia="en-US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sono state solo parzialmente comunicate e autorizzate dall’AdG/OI.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I requisiti dei destinatari non corrispondono a quelli previsti dall’avviso pubblico/bando. Le eventuali variazioni dei requisiti dei destinatari non sono state comunicate e/o autorizzate dall’AdG/OI.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8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 xml:space="preserve">EM 4 - 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Verifica della presenza e mantenimento da parte del beneficiario/soggetto attuatore/fornitore di servizio dell'iscrizione a elenchi regionali e del rispetto degli impegni assunti ai sensi dell’avviso pubblico/bando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Verifica del possesso dei requisiti previsti dall’avviso pubblico/bando relativamente al beneficiario/soggetto attuatore/fornitore del servizio, con particolare riferimento all’iscrizione e al mantenimento in elenchi regionali all’avvio e durante lo svolgimento dell’attività sovvenzionata.</w:t>
      </w:r>
    </w:p>
    <w:p>
      <w:pPr>
        <w:pStyle w:val="Normal"/>
        <w:jc w:val="both"/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Verifica del rispetto degli adempimenti/impegni assunti ai sensi dell’avviso pubblico/bando dal beneficiario/soggetto attuatore/fornitore del servizio del servizio.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sz w:val="18"/>
          <w:szCs w:val="18"/>
        </w:rPr>
        <w:t>Normativa regionale</w:t>
      </w:r>
    </w:p>
    <w:p>
      <w:pPr>
        <w:pStyle w:val="Standard"/>
        <w:numPr>
          <w:ilvl w:val="0"/>
          <w:numId w:val="4"/>
        </w:numPr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sz w:val="18"/>
          <w:szCs w:val="18"/>
        </w:rPr>
        <w:t>Avviso pubblico/Bando</w:t>
      </w:r>
    </w:p>
    <w:p>
      <w:pPr>
        <w:pStyle w:val="Standard"/>
        <w:numPr>
          <w:ilvl w:val="0"/>
          <w:numId w:val="4"/>
        </w:numPr>
        <w:rPr>
          <w:sz w:val="18"/>
          <w:szCs w:val="18"/>
        </w:rPr>
      </w:pPr>
      <w:r>
        <w:rPr>
          <w:rFonts w:eastAsia="Yu Gothic UI Semilight" w:cs="Segoe UI Light" w:ascii="Segoe UI Light" w:hAnsi="Segoe UI Light"/>
          <w:sz w:val="18"/>
          <w:szCs w:val="18"/>
        </w:rPr>
        <w:t>Dichiarazioni e documenti inviati dal</w:t>
      </w:r>
      <w:r>
        <w:rPr>
          <w:rFonts w:eastAsia="Yu Gothic UI Semilight" w:cs="Segoe UI Light" w:ascii="Segoe UI Light" w:hAnsi="Segoe UI Light"/>
          <w:color w:val="000000"/>
          <w:sz w:val="18"/>
          <w:szCs w:val="18"/>
        </w:rPr>
        <w:t xml:space="preserve"> beneficiario/soggetto attuatore/fornitore del servizio.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del beneficiario/soggetto attuatore/fornitore servizio non sono variati. Le eventuali variazioni sono state correttamente comunicate e autorizzate dall’Amministrazione competente.</w:t>
            </w: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Impegni rispettati come da avviso/bando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eventuali variazioni dei requisiti del beneficiario/soggetto attuatore/fornitore servizio sono state solo parzialmente comunicate e autorizzate dall’Amministrazione competente.</w:t>
            </w: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 xml:space="preserve"> 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Impegni rispettati solo in parte come da avviso/bando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eventuali variazioni dei requisiti del beneficiario/soggetto attuatore/fornitore servizio non sono state comunicate e/o autorizzate dall’Amministrazione competente. Impegni non rispettati come da avviso/bando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M 5 - Veri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fica degli obblighi pubblicitari e di visibilità (es.: bandi di selezione, modulistica, pubblicità sui social-media, ecc.)</w:t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Verifica del rispetto degli obblighi pubblicitari e della visibilità (presenza loghi, informazioni obbligatorie, ecc.), anche ai fini di quanto previsto dall’art. 50 co. 3 Reg. (UE) n. 2021/1060, come recepiti ed elaborati dalla Regione Piemonte all’interno della Strategia Unitaria di Comunicazione per la Programmazione 2021-2027 (mediante visione, ad es., di avviso pubblico, domande contributo, altra modulistica, volantini/manifesti, siti web e social media, materiali/strumenti del beneficiario/soggetto attuatore o del fornitore del servizio), compatibilmente con la tipologia di attività sovvenzionata.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6"/>
          <w:szCs w:val="14"/>
        </w:rPr>
      </w:r>
    </w:p>
    <w:p>
      <w:pPr>
        <w:pStyle w:val="Standard"/>
        <w:rPr/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nazionale e regionale di riferimento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Piano di Comunicazione della Regione Piemonte per gli interventi del Fondo Sociale Europeo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Dichiarazioni/documenti inviati e social-media del beneficiario/soggetto attuatore/fornitore del servizio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solo 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non sono stati effettuati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Eventuale soppressione fino all’1%</w:t>
            </w: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*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 xml:space="preserve"> del sostegno dei fondi all’operazione interessata.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/>
          <w:i/>
          <w:iCs/>
          <w:sz w:val="16"/>
          <w:szCs w:val="16"/>
        </w:rPr>
        <w:t xml:space="preserve">* 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>Conformemente a quanto previsto dall’art. 50 par. 3 del Reg. (UE) n. 2021/1060 in merito al mancato rispetto da parte del beneficiario degli obblighi di cui agli artt. 47 e 50 par. 1-2, nel rispetto dei principi di proporzionalità e gradualità, e fatto comunque salvo il successivo riscontro di esaurienti azioni correttive poste in essere, si prevede quanto segue: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>- accertamento di violazioni/criticità marginali: nessuna conseguenza in merito al sostegno economico assegnato;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violazioni/criticità rilevanti: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dello 0,5%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gravi/rilevanti o ripetute/diffuse violazioni/criticità: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 1%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coinvolta.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eastAsia="Yu Gothic UI Semilight" w:cs="Segoe UI Light"/>
          <w:color w:val="000000"/>
          <w:sz w:val="18"/>
          <w:szCs w:val="16"/>
        </w:rPr>
      </w:pPr>
      <w:r>
        <w:rPr>
          <w:rFonts w:eastAsia="Yu Gothic UI Semilight" w:cs="Segoe UI Light" w:ascii="Segoe UI Light" w:hAnsi="Segoe UI Light"/>
          <w:bCs/>
          <w:i/>
          <w:iCs/>
          <w:color w:val="000000"/>
          <w:sz w:val="16"/>
          <w:szCs w:val="16"/>
        </w:rPr>
        <w:t xml:space="preserve">Le decurtazioni non trovano applicazione qualora siano state adottate esaurienti azioni correttive nel termine assegnato.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ITEM 6 - Verifica dei principi orizzontali e delle priorità previsti dall’avviso pubblico/bando</w:t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r>
    </w:p>
    <w:p>
      <w:pPr>
        <w:pStyle w:val="Standard"/>
        <w:rPr/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/>
      </w:pP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>Verifica della rispondenza della documentazione presentata in fase d’istruttoria a supporto delle priorità e dei principi orizzontali previsti dal</w:t>
      </w:r>
      <w:r>
        <w:rPr>
          <w:rFonts w:eastAsia="Yu Gothic UI Semilight" w:cs="Segoe UI Light" w:ascii="Segoe UI Light" w:hAnsi="Segoe UI Light"/>
          <w:color w:val="000000"/>
          <w:kern w:val="2"/>
          <w:sz w:val="18"/>
          <w:szCs w:val="18"/>
          <w:lang w:eastAsia="zh-CN"/>
        </w:rPr>
        <w:t>l’avviso pubblico/bando</w:t>
      </w:r>
      <w:r>
        <w:rPr>
          <w:rFonts w:eastAsia="Yu Gothic UI Semilight" w:cs="Segoe UI Light" w:ascii="Segoe UI Light" w:hAnsi="Segoe UI Light"/>
          <w:kern w:val="2"/>
          <w:sz w:val="18"/>
          <w:szCs w:val="18"/>
          <w:lang w:eastAsia="zh-CN"/>
        </w:rPr>
        <w:t xml:space="preserve"> (compatibilmente con la tipologia di attività sovvenzionata).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/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Progetto approvato</w:t>
      </w:r>
    </w:p>
    <w:p>
      <w:pPr>
        <w:pStyle w:val="Standard"/>
        <w:numPr>
          <w:ilvl w:val="0"/>
          <w:numId w:val="4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beneficiario/destinatario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Rispondenza alle priorità e ai principi orizzontali previsti dall’avviso pubblico/bando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Non previsto.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8"/>
                <w:szCs w:val="18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Mancata rispondenza alle priorità e ai principi orizzontali previsti dall’avviso pubblico/bando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Avvio della procedura di valutazione di fatti emersi, anche ai fini di un’eventuale applicazione di tassi di riduzione forfettaria</w:t>
            </w: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ITEM 7 - Verifica a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ssenza doppio finanziamento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Verifica della contemporaneità di eventuali attività multiple effettuate dai destinatari coinvolti nell’attività sovvenzionata (attività multipla) e dell’assenza di altro contributo pubblico concesso per la stessa attività al medesimo destinatario (doppio finanziamento).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6"/>
          <w:szCs w:val="14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Normal"/>
        <w:numPr>
          <w:ilvl w:val="0"/>
          <w:numId w:val="2"/>
        </w:numPr>
        <w:jc w:val="both"/>
        <w:textAlignment w:val="auto"/>
        <w:rPr/>
      </w:pPr>
      <w:r>
        <w:rPr>
          <w:rFonts w:cs="Segoe UI Light" w:ascii="Segoe UI Light" w:hAnsi="Segoe UI Light"/>
          <w:sz w:val="18"/>
          <w:szCs w:val="18"/>
        </w:rPr>
        <w:t>Normativa unionale e nazionale</w:t>
      </w:r>
    </w:p>
    <w:p>
      <w:pPr>
        <w:pStyle w:val="Standard"/>
        <w:numPr>
          <w:ilvl w:val="0"/>
          <w:numId w:val="2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2"/>
        </w:numPr>
        <w:rPr/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destinatario</w:t>
      </w:r>
    </w:p>
    <w:p>
      <w:pPr>
        <w:pStyle w:val="Standard"/>
        <w:numPr>
          <w:ilvl w:val="0"/>
          <w:numId w:val="2"/>
        </w:numPr>
        <w:rPr/>
      </w:pPr>
      <w:r>
        <w:rPr>
          <w:rFonts w:eastAsia="Yu Gothic UI Semilight" w:cs="Segoe UI Light" w:ascii="Segoe UI Light" w:hAnsi="Segoe UI Light"/>
          <w:kern w:val="0"/>
          <w:sz w:val="18"/>
          <w:szCs w:val="16"/>
          <w:lang w:eastAsia="en-US"/>
        </w:rPr>
        <w:t>Esito controlli enti terzi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procedure previste sono state effettuate correttamente.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L’operazione non risulta finanziata da più fonti e/o non risultano attività multiple in relazione ai soggetti coinvolti.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procedure previste sono state effettuate parzialmente.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EM 8 - Verifica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 xml:space="preserve"> degli adempimenti derivanti da eventuali prescrizioni impartite in precedenti controlli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Verifica sulla presenza di eventuali prescrizioni impartite in precedenti controlli svolti sui medesimi destinatari e/o stesse operazioni oggetto della sovvenzione o sullo stesso soggetto attuatore/fornitore del servizio, controllo della loro regolarizzazione e del rispetto della tempistica assegnata.</w:t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cs="Segoe UI Light" w:ascii="Segoe UI Light" w:hAnsi="Segoe UI Light"/>
          <w:sz w:val="10"/>
          <w:szCs w:val="10"/>
        </w:rPr>
      </w:r>
    </w:p>
    <w:p>
      <w:pPr>
        <w:pStyle w:val="Normal"/>
        <w:jc w:val="both"/>
        <w:rPr>
          <w:rFonts w:ascii="Segoe UI Light" w:hAnsi="Segoe UI Light" w:cs="Segoe UI Light"/>
          <w:sz w:val="10"/>
          <w:szCs w:val="10"/>
        </w:rPr>
      </w:pPr>
      <w:r>
        <w:rPr>
          <w:rFonts w:cs="Segoe UI Light" w:ascii="Segoe UI Light" w:hAnsi="Segoe UI Light"/>
          <w:sz w:val="10"/>
          <w:szCs w:val="10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Precedenti verbali di controllo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destinatario</w:t>
      </w:r>
      <w:r>
        <w:rPr>
          <w:rFonts w:eastAsia="Yu Gothic UI Semilight" w:cs="Segoe UI Light" w:ascii="Segoe UI Light" w:hAnsi="Segoe UI Light"/>
          <w:color w:themeColor="accent1" w:themeShade="bf" w:val="2F5496"/>
          <w:kern w:val="0"/>
          <w:sz w:val="18"/>
          <w:szCs w:val="16"/>
          <w:lang w:eastAsia="en-US"/>
        </w:rPr>
        <w:t xml:space="preserve"> </w:t>
      </w:r>
      <w:r>
        <w:rPr>
          <w:rFonts w:eastAsia="Calibri" w:cs="Segoe UI Light" w:ascii="Segoe UI Light" w:hAnsi="Segoe UI Light"/>
          <w:color w:val="000000"/>
          <w:kern w:val="0"/>
          <w:sz w:val="18"/>
          <w:szCs w:val="18"/>
          <w:lang w:eastAsia="en-US"/>
        </w:rPr>
        <w:t xml:space="preserve">e/o soggetto attuatore/fornitore del servizio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prescrizioni o rispetto delle prescrizioni ricevute.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Mancato rispetto delle prescrizioni ricevute.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L’effetto è da ricollegare allo specifico adempimento e/o prescrizione.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r>
    </w:p>
    <w:p>
      <w:pPr>
        <w:pStyle w:val="Standard"/>
        <w:shd w:val="clear" w:color="auto" w:fill="D9E2F3" w:themeFill="accent1" w:themeFillTint="33"/>
        <w:rPr>
          <w:color w:val="C9211E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ITEM 9 - Verifica dell</w:t>
      </w:r>
      <w:r>
        <w:rPr>
          <w:rFonts w:eastAsia="Aptos" w:cs="Calibri" w:ascii="Segoe UI Light" w:hAnsi="Segoe UI Light" w:cstheme="minorHAnsi"/>
          <w:b/>
          <w:bCs/>
          <w:color w:val="2F5496"/>
          <w:kern w:val="0"/>
          <w:sz w:val="18"/>
          <w:szCs w:val="18"/>
          <w:lang w:eastAsia="en-US"/>
        </w:rPr>
        <w:t>’alimentazione del sistema informativo rispetto alla valorizzazione degli indicatori</w:t>
      </w:r>
    </w:p>
    <w:p>
      <w:pPr>
        <w:pStyle w:val="Standard"/>
        <w:rPr>
          <w:rFonts w:ascii="Segoe UI Light" w:hAnsi="Segoe UI Light" w:eastAsia="Aptos" w:cs="Calibri" w:cstheme="minorHAnsi"/>
          <w:b/>
          <w:bCs/>
          <w:color w:val="2F5496"/>
          <w:kern w:val="0"/>
          <w:sz w:val="18"/>
          <w:szCs w:val="18"/>
          <w:lang w:eastAsia="en-US"/>
        </w:rPr>
      </w:pPr>
      <w:r>
        <w:rPr>
          <w:rFonts w:eastAsia="Aptos" w:cs="Calibri" w:cstheme="minorHAnsi" w:ascii="Segoe UI Light" w:hAnsi="Segoe UI Light"/>
          <w:b/>
          <w:bCs/>
          <w:color w:val="2F5496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eastAsia="Yu Gothic UI Semilight" w:cs="Segoe UI Light"/>
          <w:kern w:val="2"/>
          <w:sz w:val="18"/>
          <w:szCs w:val="16"/>
          <w:lang w:eastAsia="zh-CN"/>
        </w:rPr>
      </w:pPr>
      <w:r>
        <w:rPr>
          <w:rFonts w:eastAsia="Yu Gothic UI Semilight" w:cs="Segoe UI Light" w:ascii="Segoe UI Light" w:hAnsi="Segoe UI Light"/>
          <w:kern w:val="2"/>
          <w:sz w:val="18"/>
          <w:szCs w:val="16"/>
          <w:lang w:eastAsia="zh-CN"/>
        </w:rPr>
        <w:t>Il soggetto incaricato del controllo deve verificare che i dati del partecipante/destinatario/beneficiario siano stati inseriti sul sistema informativo in modo completo e coerente.</w:t>
      </w:r>
    </w:p>
    <w:p>
      <w:pPr>
        <w:pStyle w:val="Normal"/>
        <w:jc w:val="both"/>
        <w:rPr>
          <w:rFonts w:ascii="Segoe UI Light" w:hAnsi="Segoe UI Light" w:cs="Segoe UI Light"/>
          <w:color w:val="C9211E"/>
          <w:sz w:val="10"/>
          <w:szCs w:val="10"/>
        </w:rPr>
      </w:pPr>
      <w:r>
        <w:rPr>
          <w:rFonts w:cs="Segoe UI Light" w:ascii="Segoe UI Light" w:hAnsi="Segoe UI Light"/>
          <w:color w:val="C9211E"/>
          <w:sz w:val="10"/>
          <w:szCs w:val="10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Normal"/>
        <w:rPr>
          <w:rFonts w:ascii="SegoeUILight" w:hAnsi="SegoeUILight"/>
          <w:sz w:val="18"/>
        </w:rPr>
      </w:pPr>
      <w:r>
        <w:rPr>
          <w:rFonts w:ascii="SegoeUILight" w:hAnsi="SegoeUILight"/>
          <w:sz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Il sistema informativo è stato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alimentato correttamente.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Si rilevano imprecisioni rispetto alla corretta alimentazione del sistema informativo.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UILight" w:hAnsi="SegoeUI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entro il termine ordinatorio di 5 giorni dal momento della prescrizione.</w:t>
            </w:r>
          </w:p>
        </w:tc>
        <w:tc>
          <w:tcPr>
            <w:tcW w:w="25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Mancato inserimento dei dati corretti a sistema.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L’effetto è da ricollegare allo specifico adempimento e/o prescrizione.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M 10 - Verifica su completezza e conformità delle domande di accesso ed erogazione del contributo, nonché sull’adeguato svolgimento d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ell’attività sovvenzionata e/o del raggiungimento del risultato (in caso di gestione con opzioni di costo semplificato)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 xml:space="preserve">Verifica della completezza e conformità della domanda di accesso al contributo e relativa documentazione, nonché della correttezza della relativa assegnazione (con particolare riferimento al caso in cui l’Autorità di Gestione, inclusi suoi enti strumentali/in house, o una diversa amministrazione pubblica, anche in qualità di OI, risulti beneficiario del contributo erogato). </w:t>
      </w:r>
    </w:p>
    <w:p>
      <w:pPr>
        <w:pStyle w:val="Standard"/>
        <w:rPr>
          <w:rFonts w:ascii="Segoe UI Light" w:hAnsi="Segoe UI Light" w:eastAsia="Yu Gothic UI Semilight" w:cs="Segoe UI Light"/>
          <w:kern w:val="0"/>
          <w:sz w:val="18"/>
          <w:szCs w:val="18"/>
          <w:lang w:eastAsia="en-US"/>
        </w:rPr>
      </w:pPr>
      <w:r>
        <w:rPr>
          <w:rFonts w:eastAsia="Aptos" w:cs="Calibri" w:ascii="Segoe UI Light" w:hAnsi="Segoe UI Light" w:cstheme="minorHAnsi"/>
          <w:kern w:val="0"/>
          <w:sz w:val="18"/>
          <w:szCs w:val="18"/>
          <w:lang w:eastAsia="en-US"/>
        </w:rPr>
        <w:t>Nel caso di domande di rimborso/dichiar</w:t>
      </w:r>
      <w:r>
        <w:rPr>
          <w:rFonts w:eastAsia="Yu Gothic UI Semilight" w:cs="Segoe UI Light" w:ascii="Segoe UI Light" w:hAnsi="Segoe UI Light"/>
          <w:color w:val="auto"/>
          <w:kern w:val="0"/>
          <w:sz w:val="18"/>
          <w:szCs w:val="18"/>
          <w:lang w:val="it-IT" w:eastAsia="en-US" w:bidi="ar-SA"/>
        </w:rPr>
        <w:t>azioni d’avanzamento attività presentate da un soggetto attuatore si verifica la correttezza e la completezza dei dati ivi inseriti, il rispetto dei termini d’invio, la completezza/adeguatezza della documentazione amministrativa e contabile (co</w:t>
      </w:r>
      <w:r>
        <w:rPr>
          <w:rFonts w:eastAsia="Aptos" w:cs="Calibri" w:ascii="Segoe UI Light" w:hAnsi="Segoe UI Light" w:cstheme="minorHAnsi"/>
          <w:kern w:val="0"/>
          <w:sz w:val="18"/>
          <w:szCs w:val="18"/>
          <w:lang w:eastAsia="en-US"/>
        </w:rPr>
        <w:t>mpresi registri cartacei/informatizzati) richiesta</w:t>
      </w:r>
      <w:r>
        <w:rPr>
          <w:rFonts w:eastAsia="Yu Gothic UI Semilight" w:cs="Segoe UI Light" w:ascii="Segoe UI Light" w:hAnsi="Segoe UI Light"/>
          <w:kern w:val="0"/>
          <w:sz w:val="18"/>
          <w:szCs w:val="18"/>
          <w:lang w:eastAsia="en-US"/>
        </w:rPr>
        <w:t xml:space="preserve"> dall’avviso pubblico/bando (anche relativa all’eventuale personale coinvolto) e la corrispondenza dei dati (incluse variazioni autorizzate) imputati nella procedura informatica ove prevista.</w:t>
      </w:r>
    </w:p>
    <w:p>
      <w:pPr>
        <w:pStyle w:val="Standard"/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Verifica tempistica, conformità e completezza dei dati inseriti e della documentazione, anche contabile, allegata alla domanda di erogazione del contributo assegnato (se già presentata al momento del controllo), come da previsioni dell’avviso pubblico/bando, al fine di accertare l’adeguato svolgimento dell’attività sovvenzionata/servizio fornito e/o il raggiungimento del risultato previsto, nonché verifica della corrispondenza tra l’importo richiesto e quanto effettivamente riconosciuto e liquidato (se già effettuato il pagamento al momento del controllo e con particolare riferimento al caso in cui l’Autorità di Gestione - inclusi suoi enti strumentali/in house - o una diversa amministrazione pubblica anche in qualità di OI, risulti beneficiario del contributo erogato).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Normal"/>
        <w:numPr>
          <w:ilvl w:val="0"/>
          <w:numId w:val="2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unionale, nazionale, regionale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cs="Segoe UI Light" w:ascii="Segoe UI Light" w:hAnsi="Segoe UI Light"/>
          <w:sz w:val="18"/>
          <w:szCs w:val="18"/>
        </w:rPr>
        <w:t>Domanda di rimborso/dichiarazione avanzamento attività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Registri informatizzati e/o cartacei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cs="Segoe UI Light" w:ascii="Segoe UI Light" w:hAnsi="Segoe UI Light"/>
          <w:sz w:val="18"/>
          <w:szCs w:val="18"/>
        </w:rPr>
        <w:t>Dichiarazioni e d</w:t>
      </w: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ocumenti inviati dal beneficiario/destinatario</w:t>
      </w:r>
      <w:r>
        <w:rPr>
          <w:rFonts w:ascii="Segoe UI Light" w:hAnsi="Segoe UI Light"/>
          <w:sz w:val="18"/>
          <w:szCs w:val="18"/>
          <w:lang w:eastAsia="en-US"/>
        </w:rPr>
        <w:t xml:space="preserve">/soggetto </w:t>
      </w: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attuatore</w:t>
      </w:r>
    </w:p>
    <w:p>
      <w:pPr>
        <w:pStyle w:val="Standard"/>
        <w:rPr>
          <w:shd w:fill="FFFF00" w:val="clear"/>
        </w:rPr>
      </w:pPr>
      <w:r>
        <w:rPr>
          <w:shd w:fill="FFFF00" w:val="clear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1"/>
        <w:gridCol w:w="2740"/>
        <w:gridCol w:w="11"/>
        <w:gridCol w:w="2775"/>
        <w:gridCol w:w="14"/>
        <w:gridCol w:w="25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51" w:type="dxa"/>
            <w:gridSpan w:val="2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789" w:type="dxa"/>
            <w:gridSpan w:val="2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61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Conformità/completezza documentazione amministrativa prevista (sia in fase d’assegnazione del contributo che in fase di erogazione).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Adeguato svolgimento attività ovvero risultato conseguito.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Regolarità/ammissibilità degli importi inseriti nella domanda di rimborso/dichiarazione avanzamento attività ove prevista.</w:t>
            </w:r>
          </w:p>
        </w:tc>
        <w:tc>
          <w:tcPr>
            <w:tcW w:w="2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10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4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Parziale conformità/completezza documentazione amministrativa prevista (sia in fase d’assegnazione del contributo che in fase di erogazione).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Parzialmente adeguato lo svolgimento dell’attività ovvero risultato conseguito parzialmente.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Regolarità ovvero ammissibilità solo parziale degli importi inseriti nella domanda di rimborso/dichiarazione avanzamento attività ove prevista.</w:t>
            </w:r>
          </w:p>
        </w:tc>
        <w:tc>
          <w:tcPr>
            <w:tcW w:w="2786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procedure previste sono state effettuate parzialmente.</w:t>
            </w:r>
          </w:p>
        </w:tc>
      </w:tr>
      <w:tr>
        <w:trPr>
          <w:trHeight w:val="513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conformità ovvero incompletezza della documentazione amministrativa prevista (sia in fase d’assegnazione del contributo che in fase di erogazione).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Inadeguato svolgimento attività ovvero risultato non conseguito.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Irregolarità/inammissibilità degli importi inseriti nella domanda di rimborso ove prevista.</w:t>
            </w:r>
          </w:p>
        </w:tc>
        <w:tc>
          <w:tcPr>
            <w:tcW w:w="2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EM 11 - Verifica della corrispondenza tra avanzamento finanziario e preventivo approvato, verifica dell’ammissibilità della spesa e dell’avanzam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ento tecnico-fisico (in caso di gestione a costi reali)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Il soggetto incaricato del controllo deve verificare: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la conformità dell’avanzamento finanziario delle spese dichiarate rispetto all’avanzamento delle attività previste,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la conformità dell’avanzamento finanziario rispetto al preventivo approvato ed eventuali variazioni autorizzate e relativi scostamenti massimi ammissibili,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la conformità del calcolo del maturato sulla base delle ore/attività</w:t>
      </w: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 xml:space="preserve"> </w:t>
      </w:r>
      <w:r>
        <w:rPr>
          <w:rFonts w:eastAsia="Yu Gothic UI Semilight" w:cs="Segoe UI Light" w:ascii="Segoe UI Light" w:hAnsi="Segoe UI Light"/>
          <w:sz w:val="18"/>
          <w:szCs w:val="16"/>
        </w:rPr>
        <w:t>dichiarate,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la regolarità/ammissibilità delle spese inserite nella domanda di rimborso/dichiarazione avanzamento attività.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Normativa unionale, nazionale, regionale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Avviso pubblico/Bando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Domanda di rimborso</w:t>
      </w:r>
    </w:p>
    <w:p>
      <w:pPr>
        <w:pStyle w:val="Standard"/>
        <w:numPr>
          <w:ilvl w:val="0"/>
          <w:numId w:val="4"/>
        </w:numPr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Dichiarazioni e documenti inviati dal beneficiario/destinatario</w:t>
      </w:r>
    </w:p>
    <w:p>
      <w:pPr>
        <w:pStyle w:val="Standard"/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5"/>
        <w:gridCol w:w="25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Conformità dell’avanzamento finanziario e tecnico-fisico e del calcolo del maturato.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Regolarità/ammissibilità della spesa.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457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conformità dell’avanzamento finanziario e tecnico-fisico e del calcolo del maturato.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regolarità/ammissibilità della spesa.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dell’attività/spesa oggetto di rilievo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color w:themeColor="accent1" w:themeShade="bf" w:val="2F549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</w:t>
      </w: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M 12 - Verifica quota cofinanziamento privato (anche nei casi in cui sia discendente dall'applicazione della normativa sugli aiuti di Stato)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  <w:shd w:fill="FFFF00" w:val="clear"/>
        </w:rPr>
      </w:pPr>
      <w:r>
        <w:rPr>
          <w:rFonts w:eastAsia="Yu Gothic UI Semilight" w:cs="Segoe UI Light" w:ascii="Segoe UI Light" w:hAnsi="Segoe UI Light"/>
          <w:sz w:val="20"/>
          <w:szCs w:val="18"/>
          <w:shd w:fill="FFFF00" w:val="clear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la corretta esposizione della quota di cofinanziamento privato, se prevista</w:t>
      </w:r>
      <w:r>
        <w:rPr>
          <w:rFonts w:cs="Segoe UI Light" w:ascii="Segoe UI Light" w:hAnsi="Segoe UI Light"/>
          <w:b/>
          <w:bCs/>
          <w:strike/>
          <w:sz w:val="18"/>
          <w:szCs w:val="18"/>
        </w:rPr>
        <w:t>,</w:t>
      </w:r>
      <w:r>
        <w:rPr>
          <w:rFonts w:cs="Segoe UI Light" w:ascii="Segoe UI Light" w:hAnsi="Segoe UI Light"/>
          <w:sz w:val="18"/>
          <w:szCs w:val="18"/>
        </w:rPr>
        <w:t xml:space="preserve"> Il controllo deve riguardare la corretta dimostrazione delle spese a supporto dell’attestazione della quota di cofinanziamento obbligatorio o facoltativo.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Domanda di rimborso</w:t>
      </w:r>
    </w:p>
    <w:p>
      <w:pPr>
        <w:pStyle w:val="Standard"/>
        <w:numPr>
          <w:ilvl w:val="0"/>
          <w:numId w:val="3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destinatario/beneficiario/soggetto attuatore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9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Corretta esposizione della documentazione a supporto della quota minima di cofinanziamento privato e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corretta esposizione della documentazione a supporto della quota minima di cofinanziamento privato e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  <w:t>ITEM 13 - Verifica di assenza di segnalazioni negative da parte dei destinatari o altri soggetti interessati</w:t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kern w:val="2"/>
          <w:sz w:val="18"/>
          <w:szCs w:val="16"/>
          <w:lang w:val="it-IT" w:eastAsia="zh-CN" w:bidi="ar-SA"/>
        </w:rPr>
      </w:r>
    </w:p>
    <w:p>
      <w:pPr>
        <w:pStyle w:val="Standard"/>
        <w:rPr/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sz w:val="18"/>
          <w:szCs w:val="16"/>
        </w:rPr>
        <w:t>Verifica dell’eventuale presenza di segnalazioni da parte dei destinatari del contributo o, comunque, di altri soggetti interessati (inclusi beneficiari/soggetti attuatori/fornitori del servizio), accertandone la fondatezza ed evidenziandone le motivazioni ove pertinenti, anche al fine di eventuale avviare, nei casi più gravi, la revoca del contributo e l’eventuale recupero delle somme corrisposte non dovute o la sospensione, anche definiti</w:t>
      </w:r>
      <w:r>
        <w:rPr>
          <w:rFonts w:eastAsia="Yu Gothic UI Semilight" w:cs="Segoe UI Light" w:ascii="Segoe UI Light" w:hAnsi="Segoe UI Light"/>
          <w:color w:val="000000"/>
          <w:sz w:val="18"/>
          <w:szCs w:val="16"/>
        </w:rPr>
        <w:t>va, dell’attività sovvenzionata.</w:t>
      </w:r>
    </w:p>
    <w:p>
      <w:pPr>
        <w:pStyle w:val="Standard"/>
        <w:rPr>
          <w:rFonts w:ascii="Segoe UI Light" w:hAnsi="Segoe UI Light" w:eastAsia="Yu Gothic UI Semilight" w:cs="Segoe UI Light"/>
          <w:sz w:val="18"/>
          <w:szCs w:val="16"/>
        </w:rPr>
      </w:pPr>
      <w:r>
        <w:rPr>
          <w:rFonts w:eastAsia="Yu Gothic UI Semilight" w:cs="Segoe UI Light" w:ascii="Segoe UI Light" w:hAnsi="Segoe UI Light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riferimento</w:t>
      </w:r>
    </w:p>
    <w:p>
      <w:pPr>
        <w:pStyle w:val="ListParagraph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Comunicazioni/segnalazioni/reclami dei destinatari/beneficiari/altri soggetti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GridTable1Light-Accent1"/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segnalazioni.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68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fondate segnalazioni su aspetti critici rilevanti dell’attività finanziata.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eastAsia="Calibri"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sectPr>
      <w:headerReference w:type="default" r:id="rId17"/>
      <w:headerReference w:type="first" r:id="rId18"/>
      <w:footerReference w:type="default" r:id="rId19"/>
      <w:footerReference w:type="first" r:id="rId20"/>
      <w:type w:val="nextPage"/>
      <w:pgSz w:w="11906" w:h="16838"/>
      <w:pgMar w:left="1134" w:right="1134" w:gutter="0" w:header="709" w:top="1134" w:footer="709" w:bottom="141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SegoeUILigh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0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372949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3351428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  <w:drawing>
        <wp:inline distT="0" distB="0" distL="0" distR="0">
          <wp:extent cx="6120130" cy="550545"/>
          <wp:effectExtent l="0" t="0" r="0" b="0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cd0bd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f8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e8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uiPriority w:val="99"/>
    <w:qFormat/>
    <w:rsid w:val="00cd0bd7"/>
    <w:rPr/>
  </w:style>
  <w:style w:type="character" w:styleId="HeaderChar" w:customStyle="1">
    <w:name w:val="Header Char"/>
    <w:basedOn w:val="DefaultParagraphFont"/>
    <w:uiPriority w:val="99"/>
    <w:qFormat/>
    <w:rsid w:val="00cd0bd7"/>
    <w:rPr/>
  </w:style>
  <w:style w:type="character" w:styleId="StandardCarattere" w:customStyle="1">
    <w:name w:val="Standard Carattere"/>
    <w:basedOn w:val="DefaultParagraphFont"/>
    <w:link w:val="Standard"/>
    <w:qFormat/>
    <w:rsid w:val="00cd0bd7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cd0bd7"/>
    <w:rPr>
      <w:rFonts w:ascii="Calibri" w:hAnsi="Calibri" w:eastAsia="Calibri" w:cs="Tahoma"/>
    </w:rPr>
  </w:style>
  <w:style w:type="character" w:styleId="Heading1Char" w:customStyle="1">
    <w:name w:val="Heading 1 Char"/>
    <w:basedOn w:val="DefaultParagraphFont"/>
    <w:uiPriority w:val="9"/>
    <w:qFormat/>
    <w:rsid w:val="00d95f8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yperlink" w:customStyle="1">
    <w:name w:val="Hyperlink"/>
    <w:basedOn w:val="DefaultParagraphFont"/>
    <w:uiPriority w:val="99"/>
    <w:unhideWhenUsed/>
    <w:rsid w:val="00191196"/>
    <w:rPr>
      <w:color w:themeColor="hyperlink" w:val="0563C1"/>
      <w:u w:val="single"/>
    </w:rPr>
  </w:style>
  <w:style w:type="character" w:styleId="Heading2Char" w:customStyle="1">
    <w:name w:val="Heading 2 Char"/>
    <w:basedOn w:val="DefaultParagraphFont"/>
    <w:uiPriority w:val="9"/>
    <w:qFormat/>
    <w:rsid w:val="00f13e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UnresolvedMention">
    <w:name w:val="Unresolved Mention"/>
    <w:basedOn w:val="DefaultParagraphFont"/>
    <w:uiPriority w:val="99"/>
    <w:qFormat/>
    <w:rsid w:val="00fc1246"/>
    <w:rPr>
      <w:color w:val="605E5C"/>
      <w:shd w:fill="E1DFDD" w:val="clear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e73f21"/>
    <w:rPr>
      <w:sz w:val="20"/>
      <w:szCs w:val="20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e73f21"/>
    <w:rPr>
      <w:vertAlign w:val="superscript"/>
    </w:rPr>
  </w:style>
  <w:style w:type="character" w:styleId="Annotationreference">
    <w:name w:val="annotation reference"/>
    <w:qFormat/>
    <w:rsid w:val="00337b4c"/>
    <w:rPr>
      <w:sz w:val="16"/>
      <w:szCs w:val="16"/>
    </w:rPr>
  </w:style>
  <w:style w:type="character" w:styleId="Saltoaindice" w:customStyle="1">
    <w:name w:val="Salto a indic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mmentTextChar" w:customStyle="1">
    <w:name w:val="Comment Text Char"/>
    <w:basedOn w:val="DefaultParagraphFont"/>
    <w:uiPriority w:val="99"/>
    <w:qFormat/>
    <w:rsid w:val="00c3592c"/>
    <w:rPr>
      <w:rFonts w:cs="Tahoma"/>
      <w:sz w:val="20"/>
      <w:szCs w:val="20"/>
    </w:rPr>
  </w:style>
  <w:style w:type="character" w:styleId="CommentSubjectChar" w:customStyle="1">
    <w:name w:val="Comment Subject Char"/>
    <w:basedOn w:val="CommentTextChar"/>
    <w:uiPriority w:val="99"/>
    <w:semiHidden/>
    <w:qFormat/>
    <w:rsid w:val="00c3592c"/>
    <w:rPr>
      <w:rFonts w:cs="Tahoma"/>
      <w:b/>
      <w:bCs/>
      <w:sz w:val="20"/>
      <w:szCs w:val="20"/>
    </w:rPr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link w:val="StandardCarattere"/>
    <w:qFormat/>
    <w:rsid w:val="00cd0bd7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cd0bd7"/>
    <w:pPr>
      <w:widowControl/>
      <w:spacing w:lineRule="auto" w:line="259" w:before="0" w:after="160"/>
      <w:textAlignment w:val="auto"/>
    </w:pPr>
    <w:rPr>
      <w:rFonts w:cs="" w:cstheme="minorBidi"/>
    </w:rPr>
  </w:style>
  <w:style w:type="paragraph" w:styleId="Footer">
    <w:name w:val="Footer"/>
    <w:basedOn w:val="Normal"/>
    <w:link w:val="FooterChar"/>
    <w:uiPriority w:val="99"/>
    <w:unhideWhenUsed/>
    <w:rsid w:val="00cd0bd7"/>
    <w:pPr>
      <w:tabs>
        <w:tab w:val="clear" w:pos="709"/>
        <w:tab w:val="center" w:pos="4819" w:leader="none"/>
        <w:tab w:val="right" w:pos="9638" w:leader="none"/>
      </w:tabs>
    </w:pPr>
    <w:rPr>
      <w:rFonts w:cs="" w:cstheme="minorBidi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d95f8d"/>
    <w:pPr>
      <w:widowControl/>
      <w:suppressAutoHyphens w:val="false"/>
      <w:spacing w:lineRule="auto" w:line="259"/>
      <w:textAlignment w:val="auto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d95f8d"/>
    <w:pPr>
      <w:spacing w:before="0" w:after="100"/>
    </w:pPr>
    <w:rPr/>
  </w:style>
  <w:style w:type="paragraph" w:styleId="ListParagraph">
    <w:name w:val="List Paragraph"/>
    <w:basedOn w:val="Standard"/>
    <w:uiPriority w:val="34"/>
    <w:qFormat/>
    <w:rsid w:val="00f13e82"/>
    <w:pPr>
      <w:spacing w:before="0" w:after="160"/>
      <w:ind w:hanging="0" w:left="72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f13e82"/>
    <w:pPr>
      <w:tabs>
        <w:tab w:val="clear" w:pos="709"/>
        <w:tab w:val="right" w:pos="13936" w:leader="dot"/>
      </w:tabs>
      <w:spacing w:before="0" w:after="100"/>
      <w:ind w:hanging="0" w:left="227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f21"/>
    <w:pPr>
      <w:widowControl/>
      <w:suppressAutoHyphens w:val="false"/>
      <w:textAlignment w:val="auto"/>
    </w:pPr>
    <w:rPr>
      <w:rFonts w:cs="" w:cstheme="minorBid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73f21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dexheading1">
    <w:name w:val="index heading1"/>
    <w:basedOn w:val="Titolo"/>
    <w:qFormat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Indexheading1"/>
    <w:qFormat/>
    <w:pPr/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c3592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3592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f13e82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leGrid">
    <w:name w:val="Table Grid"/>
    <w:basedOn w:val="TableNormal"/>
    <w:uiPriority w:val="39"/>
    <w:rsid w:val="001035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image" Target="media/image1.png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<Relationship Id="rId26" Type="http://schemas.openxmlformats.org/officeDocument/2006/relationships/customXml" Target="../customXml/item2.xml"/><Relationship Id="rId27" Type="http://schemas.openxmlformats.org/officeDocument/2006/relationships/customXml" Target="../customXml/item3.xml"/><Relationship Id="rId28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cac51-5eb1-42a4-96df-67fc907b8fdc" xsi:nil="true"/>
    <lcf76f155ced4ddcb4097134ff3c332f xmlns="089c57cc-c4b4-46f8-9d09-4335fb0693d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3D40A2EB5C448B6F3D50D6C0E861" ma:contentTypeVersion="14" ma:contentTypeDescription="Create a new document." ma:contentTypeScope="" ma:versionID="b9fb740767250865e8edfcab640f61b6">
  <xsd:schema xmlns:xsd="http://www.w3.org/2001/XMLSchema" xmlns:xs="http://www.w3.org/2001/XMLSchema" xmlns:p="http://schemas.microsoft.com/office/2006/metadata/properties" xmlns:ns2="089c57cc-c4b4-46f8-9d09-4335fb0693d5" xmlns:ns3="e85cac51-5eb1-42a4-96df-67fc907b8fdc" targetNamespace="http://schemas.microsoft.com/office/2006/metadata/properties" ma:root="true" ma:fieldsID="f3f46ab5f1fae9e67a086200c767065c" ns2:_="" ns3:_="">
    <xsd:import namespace="089c57cc-c4b4-46f8-9d09-4335fb0693d5"/>
    <xsd:import namespace="e85cac51-5eb1-42a4-96df-67fc907b8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c57cc-c4b4-46f8-9d09-4335fb069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8f6321-3efa-45d8-abfe-eea1c039a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cac51-5eb1-42a4-96df-67fc907b8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6ab2519-f931-428d-afb9-cd5523284e1f}" ma:internalName="TaxCatchAll" ma:showField="CatchAllData" ma:web="e85cac51-5eb1-42a4-96df-67fc907b8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70715-F6AD-49BE-A794-AC88ED745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C803E-BEB5-4BA6-9585-F57F526CD226}">
  <ds:schemaRefs>
    <ds:schemaRef ds:uri="http://schemas.microsoft.com/office/2006/metadata/properties"/>
    <ds:schemaRef ds:uri="http://schemas.microsoft.com/office/infopath/2007/PartnerControls"/>
    <ds:schemaRef ds:uri="e85cac51-5eb1-42a4-96df-67fc907b8fdc"/>
    <ds:schemaRef ds:uri="089c57cc-c4b4-46f8-9d09-4335fb0693d5"/>
  </ds:schemaRefs>
</ds:datastoreItem>
</file>

<file path=customXml/itemProps3.xml><?xml version="1.0" encoding="utf-8"?>
<ds:datastoreItem xmlns:ds="http://schemas.openxmlformats.org/officeDocument/2006/customXml" ds:itemID="{D6244D9F-2B19-4716-8BA5-16A9B018F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94EA0-3D73-4218-9101-9E1480D61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c57cc-c4b4-46f8-9d09-4335fb0693d5"/>
    <ds:schemaRef ds:uri="e85cac51-5eb1-42a4-96df-67fc907b8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Application>LibreOffice/7.6.6.3$Windows_X86_64 LibreOffice_project/d97b2716a9a4a2ce1391dee1765565ea469b0ae7</Application>
  <AppVersion>15.0000</AppVersion>
  <Pages>14</Pages>
  <Words>3249</Words>
  <Characters>22448</Characters>
  <CharactersWithSpaces>25238</CharactersWithSpaces>
  <Paragraphs>438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dc:description/>
  <dc:language>it-IT</dc:language>
  <cp:lastModifiedBy/>
  <dcterms:modified xsi:type="dcterms:W3CDTF">2025-11-04T11:58:02Z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0x010100B6B03D40A2EB5C448B6F3D50D6C0E861</vt:lpwstr>
  </property>
  <property fmtid="{D5CDD505-2E9C-101B-9397-08002B2CF9AE}" pid="3" name="MediaServiceImageTags">
    <vt:lpwstr/>
  </property>
</Properties>
</file>