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28"/>
          <w:szCs w:val="28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  <w:bookmarkStart w:id="0" w:name="_Hlk132106711"/>
      <w:bookmarkStart w:id="1" w:name="_Hlk132106711"/>
      <w:bookmarkEnd w:id="1"/>
    </w:p>
    <w:p>
      <w:pPr>
        <w:pStyle w:val="Standard"/>
        <w:spacing w:lineRule="auto" w:line="240"/>
        <w:jc w:val="right"/>
        <w:rPr>
          <w:rFonts w:ascii="Segoe UI Light" w:hAnsi="Segoe UI Light" w:eastAsia="Yu Gothic UI Semilight" w:cs="Segoe UI Light"/>
          <w:b/>
          <w:bCs/>
          <w:color w:val="2F5496"/>
          <w:sz w:val="44"/>
          <w:szCs w:val="44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CHECK LIST 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b/>
          <w:bCs/>
          <w:color w:val="2F5496"/>
          <w:sz w:val="36"/>
          <w:szCs w:val="36"/>
        </w:rPr>
      </w:pPr>
      <w:r>
        <w:rPr>
          <w:rFonts w:eastAsia="Yu Gothic UI Semilight" w:cs="Segoe UI Light" w:ascii="Segoe UI Light" w:hAnsi="Segoe UI Light"/>
          <w:b/>
          <w:bCs/>
          <w:color w:val="2F5496"/>
          <w:sz w:val="36"/>
          <w:szCs w:val="36"/>
        </w:rPr>
        <w:t xml:space="preserve">E ISTRUZIONI PER I CONTROLLI SULLE </w:t>
      </w:r>
    </w:p>
    <w:p>
      <w:pPr>
        <w:pStyle w:val="Standard"/>
        <w:spacing w:lineRule="auto" w:line="240"/>
        <w:jc w:val="center"/>
        <w:rPr/>
      </w:pPr>
      <w:r>
        <w:rPr>
          <w:rFonts w:eastAsia="Yu Gothic UI Semilight" w:cs="Segoe UI Light" w:ascii="Segoe UI Light" w:hAnsi="Segoe UI Light"/>
          <w:b/>
          <w:bCs/>
          <w:color w:val="2F5496"/>
          <w:sz w:val="44"/>
          <w:szCs w:val="44"/>
        </w:rPr>
        <w:t>DOMANDE DI RIMBORSO - UCS</w:t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AD USO DEL PERSONALE DELLE AMMINISTRAZIONI CHE GESTISCONO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  <w:t>IL FONDO SOCIALE EUROPEO E DEI BENEFICIARI</w:t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</w:rPr>
      </w:pPr>
      <w:r>
        <w:rPr>
          <w:rFonts w:eastAsia="Yu Gothic UI Semilight" w:cs="Segoe UI Light" w:ascii="Segoe UI Light" w:hAnsi="Segoe UI Light"/>
          <w:color w:val="2F5496"/>
        </w:rPr>
      </w:r>
    </w:p>
    <w:p>
      <w:pPr>
        <w:pStyle w:val="Standard"/>
        <w:jc w:val="center"/>
        <w:rPr>
          <w:rFonts w:ascii="Segoe UI Light" w:hAnsi="Segoe UI Light" w:eastAsia="Yu Gothic UI Semilight" w:cs="Segoe UI Light"/>
        </w:rPr>
      </w:pPr>
      <w:r>
        <w:rPr>
          <w:rFonts w:eastAsia="Yu Gothic UI Semilight" w:cs="Segoe UI Light" w:ascii="Segoe UI Light" w:hAnsi="Segoe UI Light"/>
        </w:rPr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568" w:top="625" w:footer="0" w:bottom="720"/>
          <w:pgNumType w:fmt="decimal"/>
          <w:formProt w:val="false"/>
          <w:textDirection w:val="lrTb"/>
          <w:docGrid w:type="default" w:linePitch="100" w:charSpace="16384"/>
        </w:sectPr>
        <w:pStyle w:val="Standard"/>
        <w:spacing w:lineRule="auto" w:line="240"/>
        <w:jc w:val="center"/>
        <w:rPr>
          <w:rFonts w:ascii="Segoe UI Light" w:hAnsi="Segoe UI Light" w:eastAsia="Yu Gothic UI Semilight" w:cs="Segoe UI Light"/>
          <w:color w:val="2F5496"/>
          <w:sz w:val="28"/>
          <w:szCs w:val="28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All. “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val="it-IT" w:eastAsia="zh-CN" w:bidi="ar-SA"/>
        </w:rPr>
        <w:t>10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” alle Linee Guida per la gestione e il controllo PR FSE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>+</w:t>
      </w:r>
      <w:r>
        <w:rPr>
          <w:rFonts w:eastAsia="Yu Gothic UI Semilight" w:cs="Segoe UI Light" w:ascii="Segoe UI Light" w:hAnsi="Segoe UI Light"/>
          <w:b/>
          <w:bCs/>
          <w:i/>
          <w:iCs/>
          <w:color w:val="2F5496"/>
          <w:kern w:val="2"/>
          <w:sz w:val="28"/>
          <w:szCs w:val="28"/>
          <w:lang w:eastAsia="zh-CN"/>
        </w:rPr>
        <w:t xml:space="preserve"> 21-27</w:t>
      </w:r>
    </w:p>
    <w:tbl>
      <w:tblPr>
        <w:tblW w:w="5000" w:type="pct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946"/>
      </w:tblGrid>
      <w:tr>
        <w:trPr>
          <w:trHeight w:val="254" w:hRule="atLeast"/>
        </w:trPr>
        <w:tc>
          <w:tcPr>
            <w:tcW w:w="1394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rFonts w:ascii="Segoe UI Light" w:hAnsi="Segoe UI Light" w:eastAsia="Yu Gothic UI Semilight" w:cs="Segoe UI Light"/>
                <w:b/>
                <w:bCs/>
                <w:i/>
                <w:i/>
                <w:iCs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i/>
                <w:iCs/>
                <w:color w:val="2F5496"/>
              </w:rPr>
              <w:t>INDICE DELLE REVISIONI</w:t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tbl>
      <w:tblPr>
        <w:tblW w:w="5000" w:type="pct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35"/>
        <w:gridCol w:w="1240"/>
        <w:gridCol w:w="747"/>
        <w:gridCol w:w="8331"/>
        <w:gridCol w:w="1442"/>
        <w:gridCol w:w="1350"/>
      </w:tblGrid>
      <w:tr>
        <w:trPr>
          <w:trHeight w:val="439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Rev.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N° D.D.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Descrizione delle modifiche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Paragrafo</w:t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472C4" w:themeFill="accent1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cs="Segoe U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Segoe UI Light" w:ascii="Segoe UI Light" w:hAnsi="Segoe UI Light"/>
                <w:b/>
                <w:bCs/>
                <w:color w:val="FFFFFF"/>
                <w:sz w:val="20"/>
                <w:szCs w:val="20"/>
              </w:rPr>
              <w:t>Rif. Pagina/e</w:t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  <w:t>Rev. 00</w:t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00/00/0000</w:t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00-000</w:t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  <w:t>PRIMA EMISSIONE</w:t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b/>
                <w:bCs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b/>
                <w:bCs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83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24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7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833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  <w:tc>
          <w:tcPr>
            <w:tcW w:w="135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Segoe UI Light" w:hAnsi="Segoe UI Light" w:eastAsia="Yu Gothic UI Semilight" w:cs="Segoe UI Light"/>
                <w:color w:val="2F5496"/>
                <w:sz w:val="20"/>
                <w:szCs w:val="20"/>
              </w:rPr>
            </w:pPr>
            <w:r>
              <w:rPr>
                <w:rFonts w:eastAsia="Yu Gothic UI Semilight" w:cs="Segoe UI Light" w:ascii="Segoe UI Light" w:hAnsi="Segoe UI Light"/>
                <w:color w:val="2F5496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pStyle w:val="Normal"/>
        <w:rPr>
          <w:rFonts w:ascii="Segoe UI Light" w:hAnsi="Segoe UI Light" w:eastAsia="Yu Gothic UI Semilight" w:cs="Segoe UI Light"/>
          <w:i/>
          <w:i/>
          <w:iCs/>
          <w:color w:val="FF0000"/>
          <w:sz w:val="36"/>
          <w:szCs w:val="30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36"/>
          <w:szCs w:val="30"/>
        </w:rPr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134" w:right="1758" w:gutter="0" w:header="567" w:top="1134" w:footer="0" w:bottom="720"/>
          <w:pgNumType w:fmt="decimal"/>
          <w:formProt w:val="false"/>
          <w:textDirection w:val="lrTb"/>
          <w:docGrid w:type="default" w:linePitch="100" w:charSpace="16384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AHeading"/>
            <w:rPr/>
          </w:pPr>
          <w:r>
            <w:rPr/>
            <w:t>Sommario</w:t>
          </w:r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r>
            <w:fldChar w:fldCharType="begin"/>
          </w:r>
          <w:r>
            <w:rPr>
              <w:webHidden/>
              <w:rStyle w:val="Saltoaindice"/>
              <w:vanish w:val="false"/>
            </w:rPr>
            <w:instrText xml:space="preserve"> TOC \z \o "1-3" \u \h</w:instrText>
          </w:r>
          <w:r>
            <w:rPr>
              <w:webHidden/>
              <w:rStyle w:val="Saltoaindice"/>
              <w:vanish w:val="false"/>
            </w:rPr>
            <w:fldChar w:fldCharType="separate"/>
          </w:r>
          <w:hyperlink w:anchor="__RefHeading___Toc3242_348822612">
            <w:r>
              <w:rPr>
                <w:webHidden/>
                <w:rStyle w:val="Saltoaindice"/>
                <w:vanish w:val="false"/>
              </w:rPr>
              <w:t>Check list per i CONTROLLI SULLE DOMANDE DI RIMBORSO - UCS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638" w:leader="dot"/>
            </w:tabs>
            <w:rPr/>
          </w:pPr>
          <w:hyperlink w:anchor="__RefHeading___Toc3244_348822612">
            <w:r>
              <w:rPr>
                <w:webHidden/>
                <w:rStyle w:val="Saltoaindice"/>
                <w:vanish w:val="false"/>
              </w:rPr>
              <w:t>Istruzioni per i CONTROLLI SULLE DOMANDE DI RIMBORSO - UCS</w:t>
              <w:tab/>
              <w:t>7</w:t>
            </w:r>
          </w:hyperlink>
          <w:r>
            <w:rPr>
              <w:rStyle w:val="Saltoaindice"/>
              <w:vanish w:val="false"/>
            </w:rPr>
            <w:fldChar w:fldCharType="end"/>
          </w:r>
        </w:p>
        <w:p>
          <w:pPr>
            <w:sectPr>
              <w:headerReference w:type="default" r:id="rId5"/>
              <w:headerReference w:type="first" r:id="rId6"/>
              <w:footerReference w:type="default" r:id="rId7"/>
              <w:type w:val="nextPage"/>
              <w:pgSz w:w="11906" w:h="16838"/>
              <w:pgMar w:left="1134" w:right="1134" w:gutter="0" w:header="708" w:top="1417" w:footer="708" w:bottom="1134"/>
              <w:pgNumType w:fmt="decimal"/>
              <w:formProt w:val="false"/>
              <w:textDirection w:val="lrTb"/>
              <w:docGrid w:type="default" w:linePitch="360" w:charSpace="4096"/>
            </w:sectPr>
          </w:pPr>
        </w:p>
      </w:sdtContent>
    </w:sdt>
    <w:p>
      <w:pPr>
        <w:pStyle w:val="Normal"/>
        <w:jc w:val="center"/>
        <w:rPr>
          <w:rFonts w:eastAsia="Yu Gothic UI Semilight"/>
          <w:sz w:val="18"/>
          <w:szCs w:val="18"/>
        </w:rPr>
      </w:pPr>
      <w:r>
        <w:rPr/>
        <w:drawing>
          <wp:inline distT="0" distB="0" distL="0" distR="0">
            <wp:extent cx="5988050" cy="489585"/>
            <wp:effectExtent l="0" t="0" r="0" b="0"/>
            <wp:docPr id="2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jc w:val="center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2" w:name="__RefHeading___Toc3242_348822612"/>
      <w:bookmarkStart w:id="3" w:name="_Toc132812236"/>
      <w:bookmarkEnd w:id="2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Check list per i CONTROLLI SULLE DOMANDE DI RIMBORSO - UCS</w:t>
      </w:r>
      <w:bookmarkEnd w:id="3"/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tbl>
      <w:tblPr>
        <w:tblStyle w:val="Grigliatabella"/>
        <w:tblW w:w="1513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"/>
        <w:gridCol w:w="3344"/>
        <w:gridCol w:w="3461"/>
        <w:gridCol w:w="2839"/>
        <w:gridCol w:w="1981"/>
        <w:gridCol w:w="2893"/>
      </w:tblGrid>
      <w:tr>
        <w:trPr>
          <w:tblHeader w:val="true"/>
          <w:trHeight w:val="409" w:hRule="atLeast"/>
        </w:trPr>
        <w:tc>
          <w:tcPr>
            <w:tcW w:w="620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N°</w:t>
            </w:r>
          </w:p>
        </w:tc>
        <w:tc>
          <w:tcPr>
            <w:tcW w:w="3344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ITEM</w:t>
            </w:r>
          </w:p>
        </w:tc>
        <w:tc>
          <w:tcPr>
            <w:tcW w:w="3461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 xml:space="preserve">CLASSIFICAZIONE DEL CONTROLLO </w:t>
            </w:r>
          </w:p>
        </w:tc>
        <w:tc>
          <w:tcPr>
            <w:tcW w:w="2839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ESITO</w:t>
            </w:r>
          </w:p>
        </w:tc>
        <w:tc>
          <w:tcPr>
            <w:tcW w:w="1981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MOTIVAZIONE</w:t>
            </w:r>
          </w:p>
        </w:tc>
        <w:tc>
          <w:tcPr>
            <w:tcW w:w="2893" w:type="dxa"/>
            <w:tcBorders>
              <w:top w:val="nil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1F4E79" w:themeFill="accent5" w:themeFillShade="80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color w:themeColor="background1" w:val="FFFFFF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color w:themeColor="background1" w:val="FFFFFF"/>
                <w:kern w:val="0"/>
                <w:sz w:val="16"/>
                <w:szCs w:val="16"/>
                <w:lang w:val="it-IT" w:eastAsia="it-IT" w:bidi="ar-SA"/>
              </w:rPr>
              <w:t>PRESCRIZIONE / RACCOMANDAZIONE</w:t>
            </w:r>
          </w:p>
        </w:tc>
      </w:tr>
      <w:tr>
        <w:trPr>
          <w:trHeight w:val="1148" w:hRule="atLeast"/>
        </w:trPr>
        <w:tc>
          <w:tcPr>
            <w:tcW w:w="620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</w:t>
            </w:r>
          </w:p>
        </w:tc>
        <w:tc>
          <w:tcPr>
            <w:tcW w:w="3344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dello stato di accreditamento</w:t>
            </w:r>
          </w:p>
        </w:tc>
        <w:tc>
          <w:tcPr>
            <w:tcW w:w="3461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>
              <w:top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>
              <w:top w:val="single" w:sz="4" w:space="0" w:color="B4C6E7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236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2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irregolarità ex art. 2 co. 31 Reg. (UE) n. 2021/1060 ss.mm.ii.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480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3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Verifica adempimenti amministrativi relativi all'avvio:         </w:t>
              <w:br/>
              <w:t>- regolarità dell'avvio</w:t>
              <w:br/>
              <w:t>- regolarità della trasmissione delle comunicazioni di avvio</w:t>
              <w:br/>
              <w:t xml:space="preserve">- individuazione sede di svolgimento dell'attività  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4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Verifica adempimenti amministrativi relativi all'operazione (comunicazioni obbligatorie, invio dell’atto di adesione, regolarità delle dichiarazioni periodiche e della registrazione delle attività sulla procedura informatizzata) 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5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obblighi pubblicitari e della visibilità (bandi di selezione, pubblicità anche sui social media)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115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6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della permanenza dei requisiti dell'operatore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074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</w:pPr>
            <w:r>
              <w:rPr>
                <w:rFonts w:eastAsia="Times New Roman" w:cs="Calibri" w:cstheme="minorHAnsi"/>
                <w:b/>
                <w:bCs/>
                <w:color w:val="auto"/>
                <w:kern w:val="0"/>
                <w:sz w:val="16"/>
                <w:szCs w:val="16"/>
                <w:lang w:val="it-IT" w:eastAsia="it-IT" w:bidi="ar-SA"/>
              </w:rPr>
              <w:t>7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ascii="Calibri" w:hAnsi="Calibri" w:eastAsia="Times New Roman" w:cs="Calibri" w:cstheme="minorHAnsi"/>
                <w:color w:val="auto"/>
                <w:kern w:val="0"/>
                <w:sz w:val="16"/>
                <w:szCs w:val="16"/>
                <w:lang w:val="it-IT" w:eastAsia="it-IT" w:bidi="ar-SA"/>
              </w:rPr>
            </w:pPr>
            <w:r>
              <w:rPr>
                <w:rFonts w:eastAsia="Times New Roman" w:cs="Calibri" w:cstheme="minorHAnsi"/>
                <w:color w:val="auto"/>
                <w:kern w:val="0"/>
                <w:sz w:val="16"/>
                <w:szCs w:val="16"/>
                <w:lang w:val="it-IT" w:eastAsia="it-IT" w:bidi="ar-SA"/>
              </w:rPr>
              <w:t>Verifica del possesso dei requisiti dei destinatari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109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8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assenza doppio finanziamento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068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9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degli adempimenti derivanti dalle prescrizioni impartite in precedenti controlli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156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10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dell’alimentazione del sistema informativo rispetto alla valorizzazione degli indicatori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</w:tr>
      <w:tr>
        <w:trPr>
          <w:trHeight w:val="1156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11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Verifica dei dati inseriti nella domanda di rimborso/dichiarazione di avanzamento attività (registri informatici e cartacei, incarichi al personale coinvolto nell’operazione) 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12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kern w:val="0"/>
                <w:sz w:val="16"/>
                <w:szCs w:val="16"/>
                <w:lang w:val="it-IT" w:eastAsia="en-US" w:bidi="ar-SA"/>
              </w:rPr>
              <w:t>Verifica quota cofinanziamento privato (anche nei casi in cui sia  discendente dall'applicazione della normativa sugli aiuti di stato)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it-IT"/>
              </w:rPr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  <w:tr>
        <w:trPr>
          <w:trHeight w:val="1398" w:hRule="atLeast"/>
        </w:trPr>
        <w:tc>
          <w:tcPr>
            <w:tcW w:w="62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sz w:val="16"/>
                <w:szCs w:val="16"/>
                <w:lang w:val="it-IT" w:eastAsia="it-IT" w:bidi="ar-SA"/>
              </w:rPr>
              <w:t>13</w:t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textAlignment w:val="auto"/>
              <w:rPr>
                <w:rFonts w:eastAsia="Times New Roman" w:cs="Calibr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Verifica dell’assenza di segnalazioni negative da parte dei destinatari</w:t>
            </w:r>
          </w:p>
        </w:tc>
        <w:tc>
          <w:tcPr>
            <w:tcW w:w="34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 EFFETTUATO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□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CONTROLLO</w:t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NON PERTINENTE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ESITO CONTROLLO ACQUISITO DA SOGGETTO TERZO</w:t>
            </w:r>
          </w:p>
        </w:tc>
        <w:tc>
          <w:tcPr>
            <w:tcW w:w="283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POSITIVO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RACCOMANDAZIONE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POSITIVO CON PRESCRIZIONE</w:t>
              <w:br/>
            </w:r>
            <w:r>
              <w:rPr>
                <w:rFonts w:eastAsia="Times New Roman" w:cs="Calibri" w:cstheme="minorHAnsi"/>
                <w:kern w:val="0"/>
                <w:sz w:val="24"/>
                <w:szCs w:val="24"/>
                <w:lang w:val="it-IT" w:eastAsia="it-IT" w:bidi="ar-SA"/>
              </w:rPr>
              <w:t>□</w:t>
            </w: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 xml:space="preserve"> NEGATIVO</w:t>
            </w:r>
          </w:p>
        </w:tc>
        <w:tc>
          <w:tcPr>
            <w:tcW w:w="1981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  <w:tc>
          <w:tcPr>
            <w:tcW w:w="289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auto"/>
              <w:rPr>
                <w:rFonts w:ascii="Calibri" w:hAnsi="Calibri" w:eastAsia="Times New Roman" w:cs="Calibri" w:asciiTheme="minorHAnsi" w:cstheme="minorHAnsi" w:hAnsi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="Calibri" w:cstheme="minorHAnsi"/>
                <w:kern w:val="0"/>
                <w:sz w:val="16"/>
                <w:szCs w:val="16"/>
                <w:lang w:val="it-IT" w:eastAsia="it-IT" w:bidi="ar-SA"/>
              </w:rPr>
              <w:t> 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i/>
          <w:i/>
          <w:i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i/>
          <w:iCs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  <w:shd w:fill="AED581" w:val="clear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  <w:shd w:fill="AED581" w:val="clear"/>
        </w:rPr>
      </w:r>
    </w:p>
    <w:p>
      <w:pPr>
        <w:pStyle w:val="Standard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NOTE:</w:t>
      </w:r>
    </w:p>
    <w:tbl>
      <w:tblPr>
        <w:tblStyle w:val="Grigliatabella"/>
        <w:tblW w:w="15193" w:type="dxa"/>
        <w:jc w:val="left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93"/>
      </w:tblGrid>
      <w:tr>
        <w:trPr/>
        <w:tc>
          <w:tcPr>
            <w:tcW w:w="15193" w:type="dxa"/>
            <w:tcBorders/>
          </w:tcPr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  <w:p>
            <w:pPr>
              <w:pStyle w:val="Standard"/>
              <w:widowControl w:val="false"/>
              <w:spacing w:before="0" w:after="0"/>
              <w:rPr>
                <w:rFonts w:ascii="Segoe UI Light" w:hAnsi="Segoe UI Light" w:eastAsia="Yu Gothic UI Semilight" w:cs="Segoe UI Light"/>
                <w:color w:themeColor="accent1" w:themeShade="bf" w:val="2F5496"/>
                <w:sz w:val="18"/>
                <w:szCs w:val="16"/>
              </w:rPr>
            </w:pPr>
            <w:r>
              <w:rPr>
                <w:rFonts w:eastAsia="Yu Gothic UI Semilight" w:cs="Segoe UI Light" w:ascii="Segoe UI Light" w:hAnsi="Segoe UI Light"/>
                <w:color w:themeColor="accent1" w:themeShade="bf" w:val="2F5496"/>
                <w:sz w:val="18"/>
                <w:szCs w:val="16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134" w:right="1418" w:gutter="0" w:header="709" w:top="1134" w:footer="709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Heading2"/>
        <w:rPr>
          <w:rFonts w:ascii="Segoe UI Light" w:hAnsi="Segoe UI Light" w:eastAsia="Yu Gothic UI Semilight" w:cs="Segoe UI Light"/>
          <w:b/>
          <w:bCs/>
          <w:sz w:val="22"/>
          <w:szCs w:val="22"/>
        </w:rPr>
      </w:pPr>
      <w:bookmarkStart w:id="4" w:name="__RefHeading___Toc3244_348822612"/>
      <w:bookmarkStart w:id="5" w:name="_Toc132812237"/>
      <w:bookmarkEnd w:id="4"/>
      <w:r>
        <w:rPr>
          <w:rFonts w:eastAsia="Yu Gothic UI Semilight" w:cs="Segoe UI Light" w:ascii="Segoe UI Light" w:hAnsi="Segoe UI Light"/>
          <w:b/>
          <w:bCs/>
          <w:sz w:val="22"/>
          <w:szCs w:val="22"/>
        </w:rPr>
        <w:t>Istruzioni per i CONTROLLI SULLE DOMANDE DI RIMBORSO - UCS</w:t>
      </w:r>
      <w:bookmarkEnd w:id="5"/>
    </w:p>
    <w:p>
      <w:pPr>
        <w:pStyle w:val="Standard"/>
        <w:rPr>
          <w:rFonts w:ascii="Segoe UI Light" w:hAnsi="Segoe UI Light" w:eastAsia="Yu Gothic UI Semilight" w:cs="Segoe UI Light"/>
          <w:i/>
          <w:i/>
          <w:iCs/>
          <w:color w:val="FF0000"/>
          <w:sz w:val="20"/>
          <w:szCs w:val="18"/>
        </w:rPr>
      </w:pPr>
      <w:r>
        <w:rPr>
          <w:rFonts w:eastAsia="Yu Gothic UI Semilight" w:cs="Segoe UI Light" w:ascii="Segoe UI Light" w:hAnsi="Segoe UI Light"/>
          <w:i/>
          <w:iCs/>
          <w:color w:val="FF0000"/>
          <w:sz w:val="20"/>
          <w:szCs w:val="18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1 - Verifica dello stato dell’accreditamento</w:t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eastAsia="Yu Gothic UI Semilight" w:cs="Segoe UI Light" w:ascii="Segoe UI Light" w:hAnsi="Segoe UI Light"/>
          <w:sz w:val="20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lo stato dell'accreditamento, ove richiesto, relativamente alle Agenzie Formative e alle Agenzie per il lavoro.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Ai fini  del controllo è necessario verificare l’esistenza  di  provvedimenti relativi all’accreditamento sulle procedure ad evidenza pubblica e sull’erogazione dei finanziamenti nonché i conseguenti effetti: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accreditatamento,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decadenza,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sospensione,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revoca.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sz w:val="20"/>
          <w:szCs w:val="18"/>
        </w:rPr>
      </w:pPr>
      <w:r>
        <w:rPr>
          <w:rFonts w:cs="Segoe UI Light" w:ascii="Segoe UI Light" w:hAnsi="Segoe UI Light"/>
          <w:sz w:val="18"/>
          <w:szCs w:val="18"/>
        </w:rPr>
        <w:t>È  necessario, inoltre, che il soggetto che effettua il controllo verifichi le prescrizioni (numero e motivazioni) e gli avvii di procedimento a cui è stato sottoposto il soggetto controllato.</w:t>
      </w:r>
    </w:p>
    <w:p>
      <w:pPr>
        <w:pStyle w:val="Normal"/>
        <w:jc w:val="both"/>
        <w:rPr>
          <w:rFonts w:ascii="Segoe UI Light" w:hAnsi="Segoe UI Light" w:cs="Segoe UI Light"/>
          <w:sz w:val="12"/>
          <w:szCs w:val="12"/>
        </w:rPr>
      </w:pPr>
      <w:r>
        <w:rPr>
          <w:rFonts w:cs="Segoe UI Light" w:ascii="Segoe UI Light" w:hAnsi="Segoe UI Light"/>
          <w:sz w:val="12"/>
          <w:szCs w:val="12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nazionale e regionale di riferimento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Elenchi sedi operative-soggetti accreditati</w:t>
      </w:r>
    </w:p>
    <w:p>
      <w:pPr>
        <w:pStyle w:val="Normal"/>
        <w:numPr>
          <w:ilvl w:val="0"/>
          <w:numId w:val="0"/>
        </w:numPr>
        <w:ind w:hanging="0" w:left="720"/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2778"/>
        <w:gridCol w:w="2621"/>
        <w:gridCol w:w="25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78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621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3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Tutti i soggetti coinvolti sono regolarmente accreditati.</w:t>
            </w:r>
          </w:p>
        </w:tc>
        <w:tc>
          <w:tcPr>
            <w:tcW w:w="26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03" w:hRule="atLeast"/>
        </w:trPr>
        <w:tc>
          <w:tcPr>
            <w:tcW w:w="1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79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683" w:hRule="atLeast"/>
        </w:trPr>
        <w:tc>
          <w:tcPr>
            <w:tcW w:w="1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L’accreditamento risulta sospeso e/o sono stati avviati procedimenti di sospensione.</w:t>
            </w:r>
          </w:p>
        </w:tc>
        <w:tc>
          <w:tcPr>
            <w:tcW w:w="2621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Richiesta di  autorizzazione a proseguire l’attività e  regolarizzazione della situazione.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Applicazione delle disposizioni sull’accreditamento.</w:t>
            </w:r>
          </w:p>
        </w:tc>
      </w:tr>
      <w:tr>
        <w:trPr>
          <w:trHeight w:val="513" w:hRule="atLeast"/>
        </w:trPr>
        <w:tc>
          <w:tcPr>
            <w:tcW w:w="197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7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L’accreditamento risulta revocato/decaduto e/o sono stati avviati ripetuti procedimenti di sospensione.</w:t>
            </w:r>
          </w:p>
        </w:tc>
        <w:tc>
          <w:tcPr>
            <w:tcW w:w="262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Applicazione delle disposizioni sull’accreditamento.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2 - Verifica assenza irregolarità ai sensi dell'art. 2, punto 31) del Reg. (UE) n. 2021/1060 ss.mm.ii.</w:t>
      </w:r>
    </w:p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l'eventuale presenza di irregolarità accertata direttamente o segnalata nell'ambito della Programmazione FSE Plus 2021-2027. La verifica è effettuata su tutte le informazioni disponibili presso l'AdG/OI, includendo le eventuali segnalazioni di irregolarità emerse in controlli precedenti o ricevute da soggetti esterni.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Normal"/>
        <w:numPr>
          <w:ilvl w:val="0"/>
          <w:numId w:val="1"/>
        </w:numPr>
        <w:jc w:val="both"/>
        <w:textAlignment w:val="auto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Normativa unionale, nazionale e regionale di riferimento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jc w:val="left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1"/>
        <w:gridCol w:w="2711"/>
        <w:gridCol w:w="2528"/>
        <w:gridCol w:w="285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11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528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 xml:space="preserve">Prescrizione/Raccomandazione </w:t>
            </w:r>
          </w:p>
        </w:tc>
        <w:tc>
          <w:tcPr>
            <w:tcW w:w="285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irregolarità.</w:t>
            </w:r>
          </w:p>
        </w:tc>
        <w:tc>
          <w:tcPr>
            <w:tcW w:w="252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sz w:val="16"/>
                <w:szCs w:val="16"/>
                <w:shd w:fill="auto" w:val="clear"/>
              </w:rPr>
              <w:t>Non previsto.</w:t>
            </w:r>
          </w:p>
        </w:tc>
      </w:tr>
      <w:tr>
        <w:trPr>
          <w:trHeight w:val="441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Presenza di irregolarità.</w:t>
            </w:r>
          </w:p>
        </w:tc>
        <w:tc>
          <w:tcPr>
            <w:tcW w:w="252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8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Avvio della procedura di valutazione dei fatti emersi e degli elementi rilevati nel corso dei controlli attraverso la loro segnalazione al responsabile del procedimento.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3 - Verifica adempimenti amministrativi relativi all'avvio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il rispetto delle modalità previste dai singoli avvisi pubblici/bandi per l'avvio delle attività. In particolare:</w:t>
      </w:r>
    </w:p>
    <w:p>
      <w:pPr>
        <w:pStyle w:val="ListParagraph"/>
        <w:numPr>
          <w:ilvl w:val="0"/>
          <w:numId w:val="3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regolarità dell'avvio,</w:t>
      </w:r>
    </w:p>
    <w:p>
      <w:pPr>
        <w:pStyle w:val="ListParagraph"/>
        <w:numPr>
          <w:ilvl w:val="0"/>
          <w:numId w:val="3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regolarità della trasmissione delle comunicazioni di avvio (anche anticipato),</w:t>
      </w:r>
    </w:p>
    <w:p>
      <w:pPr>
        <w:pStyle w:val="ListParagraph"/>
        <w:numPr>
          <w:ilvl w:val="0"/>
          <w:numId w:val="3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individuazione della sede di svolgimento dell'attività.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regionale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jc w:val="left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jc w:val="left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10"/>
        <w:gridCol w:w="2836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1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6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all’avvio sono stati effettuati correttamente.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all’avvio sono stati effettuati solo parzialmente.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all’avvio non sono stati effettuati correttamente.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4 - Verifica adempimenti amministrativi relativi all'operazione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il rispetto delle tempistiche previste relativamente a: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sottoscrizione e invio dell'atto di adesione, 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comunicazioni obbligatorie, 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regolarità delle dichiarazioni periodiche,</w:t>
      </w:r>
    </w:p>
    <w:p>
      <w:pPr>
        <w:pStyle w:val="ListParagraph"/>
        <w:numPr>
          <w:ilvl w:val="0"/>
          <w:numId w:val="4"/>
        </w:numPr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registrazione delle attività sulla procedura informatizzata.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regionale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2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10"/>
        <w:gridCol w:w="2836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1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6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all’operazione sono stati effettuati correttamente e autorizzati dall’AdG/OI.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Gli adempimenti relativi all’operazione sono stati effettuati solo parzialmente.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Gli adempimenti relativi all’operazione non sono stati effettuati correttamente.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color w:val="000000"/>
                <w:sz w:val="16"/>
                <w:szCs w:val="16"/>
              </w:rPr>
            </w:pPr>
            <w:r>
              <w:rPr>
                <w:rFonts w:cs="Segoe UI Light" w:ascii="Segoe UI Light" w:hAnsi="Segoe UI Light"/>
                <w:color w:val="000000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5 - Verifica degli obblighi pubblicitari e della visibilità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Standard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color w:val="auto"/>
          <w:kern w:val="0"/>
          <w:sz w:val="18"/>
          <w:szCs w:val="16"/>
          <w:lang w:val="it-IT" w:eastAsia="en-US" w:bidi="ar-SA"/>
        </w:rPr>
        <w:t>Verifica del rispetto degli obblighi pubblicitari e della visibilità (presenza loghi, informazioni obbligatorie, ecc.), anche ai fini di quanto previsto dall’art. 50 co. 3 Reg. (UE) n. 2021/1060, come recepiti ed elaborati dalla Regione Piemonte all’interno della  Strategia Unitaria di Comunicazione per la Programmazione 2021-2027 (mediante visione, ad es., di avviso pubblico/bando, domande contributo, volantini/manifesti, siti web e social media, materiali/strumenti), compatibilmente con la tipologia di attività sovvenzionata.</w:t>
      </w:r>
    </w:p>
    <w:p>
      <w:pPr>
        <w:pStyle w:val="Standard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6"/>
          <w:szCs w:val="14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6"/>
          <w:szCs w:val="14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nazionale e regionale di riferimento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Piano di Comunicazione della Regione Piemonte per gli interventi del Fondo Sociale Europeo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5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messi a disposizione dal beneficiario</w:t>
      </w:r>
    </w:p>
    <w:p>
      <w:pPr>
        <w:pStyle w:val="Standard"/>
        <w:ind w:hanging="0" w:left="720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10"/>
        <w:gridCol w:w="2836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10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6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correttamente.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sono stati effettuati solo parzialmente.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1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Gli adempimenti relativi alla pubblicità non sono stati effettuati correttamente.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Eventuale soppressione fino all’1%</w:t>
            </w: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*</w:t>
            </w:r>
            <w:r>
              <w:rPr>
                <w:rFonts w:cs="Segoe UI Light" w:ascii="Segoe UI Light" w:hAnsi="Segoe UI Light"/>
                <w:kern w:val="0"/>
                <w:sz w:val="16"/>
                <w:szCs w:val="16"/>
                <w:highlight w:val="yellow"/>
                <w:lang w:val="it-IT" w:eastAsia="en-US" w:bidi="ar-SA"/>
              </w:rPr>
              <w:t xml:space="preserve"> </w:t>
            </w: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del sostegno dei fondi all’operazione interessata.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/>
          <w:i/>
          <w:iCs/>
          <w:sz w:val="16"/>
          <w:szCs w:val="16"/>
        </w:rPr>
        <w:t xml:space="preserve">* 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>Conformemente a quanto previsto dall’art. 50 par. 3 del Reg. (UE) n. 2021/1060 in merito al mancato rispetto da parte del beneficiario degli obblighi di cui agli artt. 47 e 50 par. 1-2, nel rispetto dei principi di proporzionalità e gradualità, e fatto comunque salvo il successivo riscontro di esaurienti azioni correttive poste in essere, si prevede quanto segue: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>- accertamento di violazioni/criticità marginali: nessuna conseguenza in merito al sostegno economico assegnato;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violazioni/criticità rilevanti: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dello 0,5%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coinvolta;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- accertamento di gravi/rilevanti o ripetute/diffuse violazioni/criticità: </w:t>
      </w:r>
      <w:r>
        <w:rPr>
          <w:rFonts w:cs="Segoe UI Light" w:ascii="Segoe UI Light" w:hAnsi="Segoe UI Light"/>
          <w:b/>
          <w:i/>
          <w:iCs/>
          <w:sz w:val="16"/>
          <w:szCs w:val="16"/>
        </w:rPr>
        <w:t>decurtazione del 1%</w:t>
      </w: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 del sostegno economico relativo all’operazione coinvolta.</w:t>
      </w:r>
    </w:p>
    <w:p>
      <w:pPr>
        <w:pStyle w:val="Standard"/>
        <w:shd w:val="clear" w:color="auto" w:fill="F2F2F2" w:themeFill="background1" w:themeFillShade="f2"/>
        <w:rPr>
          <w:rFonts w:ascii="Segoe UI Light" w:hAnsi="Segoe UI Light" w:cs="Segoe UI Light"/>
          <w:bCs/>
          <w:i/>
          <w:i/>
          <w:iCs/>
          <w:sz w:val="16"/>
          <w:szCs w:val="16"/>
        </w:rPr>
      </w:pPr>
      <w:r>
        <w:rPr>
          <w:rFonts w:cs="Segoe UI Light" w:ascii="Segoe UI Light" w:hAnsi="Segoe UI Light"/>
          <w:bCs/>
          <w:i/>
          <w:iCs/>
          <w:sz w:val="16"/>
          <w:szCs w:val="16"/>
        </w:rPr>
        <w:t xml:space="preserve">Le decurtazioni non trovano applicazione qualora siano state adottate esaurienti azioni correttive nel termine assegnato.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6 - Verifica della permanenza dei requisiti dell’operatore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</w:t>
      </w:r>
      <w:r>
        <w:rPr>
          <w:rFonts w:cs="Segoe UI Light" w:ascii="Segoe UI Light" w:hAnsi="Segoe UI Light"/>
          <w:sz w:val="18"/>
          <w:szCs w:val="18"/>
          <w:shd w:fill="auto" w:val="clear"/>
        </w:rPr>
        <w:t xml:space="preserve"> soggetto incaricato del controllo deve verificare la permanenza dei requisiti anche attraverso la documentazione relativa a eventuali richieste/comunicazioni di variazione (incluse le informazioni su legale rappresentante, titolare effettivo, composizione del partenariato, ecc. ) e, ove prevista, l’autorizzazione da parte dell'Amministrazione competente.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  <w:shd w:fill="auto" w:val="clear"/>
        </w:rPr>
      </w:pPr>
      <w:r>
        <w:rPr>
          <w:rFonts w:cs="Segoe UI Light" w:ascii="Segoe UI Light" w:hAnsi="Segoe UI Light"/>
          <w:sz w:val="18"/>
          <w:szCs w:val="18"/>
          <w:shd w:fill="auto" w:val="clear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regionale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dell’operatore non sono variati. Le eventuali variazioni sono state correttamente comunicate e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eventuali variazioni dei requisiti dell’operatore sono state solo parzialmente comunicate e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eventuali variazioni dei requisiti dell’operatore non sono state comunicate e/o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7 - Verifica del possesso dei requisiti dei destinatari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i requisiti richiesti dall’avviso pubblico/bando in relazione ai destinatari e il loro inserimento</w:t>
      </w:r>
      <w:r>
        <w:rPr>
          <w:rFonts w:cs="Segoe UI Light" w:ascii="Segoe UI Light" w:hAnsi="Segoe UI Light"/>
          <w:sz w:val="18"/>
          <w:szCs w:val="18"/>
          <w:shd w:fill="auto" w:val="clear"/>
        </w:rPr>
        <w:t xml:space="preserve"> </w:t>
      </w:r>
      <w:r>
        <w:rPr>
          <w:rFonts w:eastAsia="Calibri" w:cs="Segoe UI Light" w:ascii="Segoe UI Light" w:hAnsi="Segoe UI Light" w:eastAsiaTheme="minorHAnsi"/>
          <w:color w:val="000000"/>
          <w:kern w:val="0"/>
          <w:sz w:val="18"/>
          <w:szCs w:val="18"/>
          <w:shd w:fill="auto" w:val="clear"/>
          <w:lang w:val="it-IT" w:eastAsia="en-US" w:bidi="ar-SA"/>
        </w:rPr>
        <w:t>su</w:t>
      </w:r>
      <w:r>
        <w:rPr>
          <w:rFonts w:cs="Segoe UI Light" w:ascii="Segoe UI Light" w:hAnsi="Segoe UI Light"/>
          <w:sz w:val="18"/>
          <w:szCs w:val="18"/>
          <w:shd w:fill="auto" w:val="clear"/>
        </w:rPr>
        <w:t xml:space="preserve"> procedura informatica.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  <w:shd w:fill="auto" w:val="clear"/>
        </w:rPr>
      </w:pPr>
      <w:r>
        <w:rPr>
          <w:rFonts w:cs="Segoe UI Light" w:ascii="Segoe UI Light" w:hAnsi="Segoe UI Light"/>
          <w:sz w:val="18"/>
          <w:szCs w:val="18"/>
          <w:shd w:fill="auto" w:val="clear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regionale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numPr>
          <w:ilvl w:val="0"/>
          <w:numId w:val="0"/>
        </w:numPr>
        <w:ind w:hanging="0" w:left="720"/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dei destinatari corrispondono a quelli previsti dall’avviso pubblico/bando. Le eventuali variazioni sono state correttamente comunicate e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Le eventuali variazioni dei requisiti dei destinatari sono state solo parzialmente comunicate e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I requisiti dei destinatari non corrispondono a quelli richiesti da avvisi pubblici/bandi e le eventuali variazioni  non sono state comunicate e/o autorizzate dall’Amministrazione competente.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8 - Verifica assenza doppio finanziamento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che l’operazione sia finanziata da un’unica fonte. Si verifica, inoltre, se risultano attività multiple in relazione ai soggetti coinvolti.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Domanda di rimborso/dichiarazione di avanzamento delle attività</w:t>
      </w:r>
    </w:p>
    <w:p>
      <w:pPr>
        <w:pStyle w:val="Standard"/>
        <w:ind w:hanging="0" w:left="720"/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9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L’operazione non risulta finanziata da più fonti e/o non risultano attività multiple in relazione ai soggetti coinvolti.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sz w:val="16"/>
                <w:szCs w:val="16"/>
                <w:shd w:fill="auto" w:val="clear"/>
              </w:rPr>
              <w:t>Non previsto.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L’operazione risulta finanziata da più fonti e/o risultano attività multiple in relazione ai soggetti coinvolti.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9 - Verifica degli adempimenti derivanti dalle prescrizioni impartite in precedenti controlli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la presenza di eventuali prescrizioni impartite dall’Amministrazione competente in precedenti attività di controllo, la loro regolarizzazione e il rispetto della tempistica prevista.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Precedenti verbali di controllo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 xml:space="preserve">Dichiarazioni e documenti inviati dal beneficiario  </w:t>
      </w:r>
    </w:p>
    <w:p>
      <w:pPr>
        <w:pStyle w:val="Standard"/>
        <w:ind w:hanging="0" w:left="720"/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11"/>
        <w:gridCol w:w="2836"/>
        <w:gridCol w:w="255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11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6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2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auto"/>
                <w:kern w:val="0"/>
                <w:sz w:val="16"/>
                <w:szCs w:val="16"/>
                <w:lang w:val="it-IT" w:eastAsia="en-US" w:bidi="ar-SA"/>
              </w:rPr>
              <w:t>Assenza di prescrizioni o rispetto delle prescrizioni ricevute.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8"/>
                <w:szCs w:val="18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previsto.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1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Mancato rispetto delle prescrizioni ricevute.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 w:eastAsiaTheme="minorHAnsi"/>
                <w:color w:val="auto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L’effetto è da ricollegare allo specifico adempimento e/o prescrizione.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color w:themeColor="accent1" w:themeShade="bf" w:val="000000"/>
          <w:shd w:fill="auto" w:val="clear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  <w:shd w:fill="auto" w:val="clear"/>
        </w:rPr>
        <w:t xml:space="preserve">ITEM 10 - Verifica dell’alimentazione del sistema informativo rispetto alla valorizzazione degli indicatori 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che i dati del partecipante s</w:t>
      </w:r>
      <w:r>
        <w:rPr>
          <w:rFonts w:cs="Segoe UI Light" w:ascii="Segoe UI Light" w:hAnsi="Segoe UI Light"/>
          <w:sz w:val="18"/>
          <w:szCs w:val="18"/>
          <w:shd w:fill="auto" w:val="clear"/>
        </w:rPr>
        <w:t>iano stati inseriti sul sistema informativo in modo completo e coerente.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  <w:shd w:fill="auto" w:val="clear"/>
        </w:rPr>
      </w:pPr>
      <w:r>
        <w:rPr>
          <w:rFonts w:cs="Segoe UI Light" w:ascii="Segoe UI Light" w:hAnsi="Segoe UI Light"/>
          <w:sz w:val="18"/>
          <w:szCs w:val="18"/>
          <w:shd w:fill="auto" w:val="clear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7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7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9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Il sistema informativo è stato alimentato correttamente</w:t>
            </w:r>
            <w:r>
              <w:rPr>
                <w:rFonts w:eastAsia="Calibri" w:cs="Segoe UI Light" w:ascii="Segoe UI Light" w:hAnsi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</w:t>
            </w:r>
          </w:p>
        </w:tc>
      </w:tr>
      <w:tr>
        <w:trPr>
          <w:trHeight w:val="470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Si rilevano imprecisioni rispetto alla corretta alimentazione del sistema informativo</w:t>
            </w:r>
            <w:r>
              <w:rPr>
                <w:rFonts w:eastAsia="Calibri" w:cs="Segoe UI Light" w:ascii="Segoe UI Light" w:hAnsi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Calibri" w:cs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eastAsia="Calibri" w:cs="Segoe UI Light" w:ascii="Segoe UI Light" w:hAnsi="Segoe UI Light" w:eastAsiaTheme="minorHAnsi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Mancato inserimento dei dati corretti a sistema</w:t>
            </w:r>
            <w:r>
              <w:rPr>
                <w:rFonts w:eastAsia="Calibri" w:cs="Segoe UI Light" w:ascii="Segoe UI Light" w:hAnsi="Segoe UI Light"/>
                <w:color w:val="000000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b/>
          <w:bCs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11 - Verifica dei dati inseriti nella domanda di rimborso/dichiarazione di avanzamento attività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 xml:space="preserve">Il soggetto incaricato del controllo deve verificare: la correttezza e la completezza dei dati inseriti nelle domande di rimborso/dichiarazione di avanzamento attività, la corrispondenza degli stessi dati con quanto presente su registri informatici e cartacei nonché </w:t>
      </w:r>
      <w:r>
        <w:rPr>
          <w:rFonts w:cs="Segoe UI Light" w:ascii="Segoe UI Light" w:hAnsi="Segoe UI Light"/>
          <w:sz w:val="18"/>
          <w:szCs w:val="18"/>
          <w:shd w:fill="auto" w:val="clear"/>
        </w:rPr>
        <w:t>gli incarichi al personale coinvolto nell’operazione</w:t>
      </w:r>
      <w:r>
        <w:rPr>
          <w:rFonts w:cs="Segoe UI Light" w:ascii="Segoe UI Light" w:hAnsi="Segoe UI Light"/>
          <w:sz w:val="18"/>
          <w:szCs w:val="18"/>
        </w:rPr>
        <w:t>. È  oggetto di controllo anche il rispetto delle tempistiche per l’invio delle domande di rimborso/dichiarazioni di avanzamento attività.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7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7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7"/>
        </w:numPr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Domanda di rimborso/dichiarazione di avanzamento delle attività</w:t>
      </w:r>
    </w:p>
    <w:p>
      <w:pPr>
        <w:pStyle w:val="Standard"/>
        <w:numPr>
          <w:ilvl w:val="0"/>
          <w:numId w:val="0"/>
        </w:numPr>
        <w:ind w:hanging="0" w:left="720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9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Corretta e completa compilazione e corrispondenza dei dati della domanda di rimborso/dichiarazione di avanzamento attività e dei relativi allegati.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azioni migliorative rispetto a una o più criticità secondarie.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completa compilazione della domanda di rimborso/dichiarazione di avanzamento attività e dei relativi allegati.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Regolarizzazione degli adempimenti entro il termine ordinatorio di 5 giorni dal momento della prescrizione.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corretta compilazione e non corrispondenza dei dati della domanda di rimborso/dichiarazione di avanzamento attività e dei relativi allegati.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color w:themeColor="accent1" w:themeShade="bf" w:val="000000"/>
          <w:shd w:fill="auto" w:val="clear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  <w:shd w:fill="auto" w:val="clear"/>
        </w:rPr>
        <w:t>ITEM 12 - Verifica quota cofinanziamento privato (anche nei casi in cui sia discendente dall'applicazione della normativa sugli aiuti di stato)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la corretta esposizione della quota di cofinanziamento privato definita in relazione a quanto previsto nel progetto approvato.  Il controllo deve riguardare la corretta dimostrazione delle spese a supporto dell’attestazione della quota di cofinanziamento obbligatorio o facoltativo.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Normativa unionale, nazionale, regionale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Avviso pubblico/Bando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Domanda di rimborso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Dichiarazioni e documenti inviati dal beneficiario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9"/>
        <w:gridCol w:w="2837"/>
        <w:gridCol w:w="25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9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3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Corretta esposizione della documentazione a supporto della quota minima di cofinanziamento privato e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sz w:val="16"/>
                <w:szCs w:val="16"/>
                <w:shd w:fill="auto" w:val="clear"/>
              </w:rPr>
              <w:t>Non previsto.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previsto.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Non corretta esposizione della documentazione a supporto della quota minima di cofinanziamento privato e aziendale.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  <w:shd w:fill="auto" w:val="clear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-</w:t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Non riconoscimento totale o parziale delle attività oggetto di rilievo.</w:t>
            </w:r>
          </w:p>
        </w:tc>
      </w:tr>
    </w:tbl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rPr>
          <w:rFonts w:ascii="Segoe UI Light" w:hAnsi="Segoe UI Light" w:eastAsia="Yu Gothic UI Semilight" w:cs="Segoe UI Light"/>
          <w:strike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strike/>
          <w:color w:themeColor="accent1" w:themeShade="bf" w:val="2F5496"/>
          <w:sz w:val="18"/>
          <w:szCs w:val="16"/>
        </w:rPr>
      </w:r>
    </w:p>
    <w:p>
      <w:pPr>
        <w:pStyle w:val="Standard"/>
        <w:shd w:val="clear" w:color="auto" w:fill="D9E2F3" w:themeFill="accent1" w:themeFillTint="33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b/>
          <w:bCs/>
          <w:color w:themeColor="accent1" w:themeShade="bf" w:val="2F5496"/>
          <w:sz w:val="18"/>
          <w:szCs w:val="16"/>
        </w:rPr>
        <w:t>ITEM 13 - Verifica dell’assenza di segnalazioni negative da parte dei destinatari</w:t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Modalità di controllo</w:t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cs="Segoe UI Light" w:ascii="Segoe UI Light" w:hAnsi="Segoe UI Light"/>
          <w:sz w:val="18"/>
          <w:szCs w:val="18"/>
        </w:rPr>
        <w:t>Il soggetto incaricato del controllo deve verificare l’eventuale presenza di segnalazioni da parte dei destinatari evidenziandone le motivazioni ove pertinenti.</w:t>
      </w:r>
    </w:p>
    <w:p>
      <w:pPr>
        <w:pStyle w:val="Normal"/>
        <w:jc w:val="both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p>
      <w:pPr>
        <w:pStyle w:val="Normal"/>
        <w:jc w:val="both"/>
        <w:rPr>
          <w:rFonts w:ascii="Segoe UI Light" w:hAnsi="Segoe UI Light" w:cs="Segoe UI Light"/>
          <w:sz w:val="18"/>
          <w:szCs w:val="18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>Fonti di  riferimento</w:t>
      </w:r>
    </w:p>
    <w:p>
      <w:pPr>
        <w:pStyle w:val="Standard"/>
        <w:numPr>
          <w:ilvl w:val="0"/>
          <w:numId w:val="6"/>
        </w:numPr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  <w:t>Comunicazioni dei destinatari.</w:t>
      </w:r>
    </w:p>
    <w:p>
      <w:pPr>
        <w:pStyle w:val="Standard"/>
        <w:ind w:hanging="0" w:left="720"/>
        <w:rPr>
          <w:rFonts w:ascii="Segoe UI Light" w:hAnsi="Segoe UI Light" w:eastAsia="Calibri" w:cs="Segoe UI Light"/>
          <w:kern w:val="0"/>
          <w:sz w:val="18"/>
          <w:szCs w:val="18"/>
          <w:lang w:eastAsia="en-US"/>
        </w:rPr>
      </w:pPr>
      <w:r>
        <w:rPr>
          <w:rFonts w:eastAsia="Calibri" w:cs="Segoe UI Light" w:ascii="Segoe UI Light" w:hAnsi="Segoe UI Light"/>
          <w:kern w:val="0"/>
          <w:sz w:val="18"/>
          <w:szCs w:val="18"/>
          <w:lang w:eastAsia="en-US"/>
        </w:rPr>
      </w:r>
    </w:p>
    <w:p>
      <w:pPr>
        <w:pStyle w:val="Standard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  <w:t xml:space="preserve">Classificazione degli esiti del controllo, delle prescrizioni e degli effetti </w:t>
      </w:r>
    </w:p>
    <w:tbl>
      <w:tblPr>
        <w:tblStyle w:val="Tabellagriglia1chiara-colore1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0"/>
        <w:gridCol w:w="2707"/>
        <w:gridCol w:w="2837"/>
        <w:gridCol w:w="25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Esito controllo</w:t>
            </w:r>
          </w:p>
        </w:tc>
        <w:tc>
          <w:tcPr>
            <w:tcW w:w="270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Motivazione</w:t>
            </w:r>
          </w:p>
        </w:tc>
        <w:tc>
          <w:tcPr>
            <w:tcW w:w="2837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Prescrizione/Raccomandazione</w:t>
            </w:r>
          </w:p>
        </w:tc>
        <w:tc>
          <w:tcPr>
            <w:tcW w:w="2555" w:type="dxa"/>
            <w:tcBorders>
              <w:bottom w:val="single" w:sz="12" w:space="0" w:color="4472C4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Effetto</w:t>
            </w:r>
          </w:p>
        </w:tc>
      </w:tr>
      <w:tr>
        <w:trPr>
          <w:trHeight w:val="40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Assenza di segnalazioni da parte dei destinatari o presenza di segnalazioni rilevate in altri controlli da parte dei destinatari a cui l’operatore ha risposto adeguatamente.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raccomandazione</w:t>
            </w:r>
          </w:p>
        </w:tc>
        <w:tc>
          <w:tcPr>
            <w:tcW w:w="80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shd w:fill="auto" w:val="clear"/>
                <w:lang w:val="it-IT" w:eastAsia="en-US" w:bidi="ar-SA"/>
              </w:rPr>
              <w:t>Formulazione di eventuali  azioni migliorative rispetto a  una o più criticità secondarie.</w:t>
            </w:r>
          </w:p>
        </w:tc>
      </w:tr>
      <w:tr>
        <w:trPr>
          <w:trHeight w:val="441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Positivo con prescrizione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segnalazioni rilevate in altri controlli da parte dei destinatari a cui l’operatore ha risposto parzialmente.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Adempiere alle prescrizioni  segnalate in altri controlli nei tempi previsti.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</w:tr>
      <w:tr>
        <w:trPr>
          <w:trHeight w:val="513" w:hRule="atLeast"/>
        </w:trPr>
        <w:tc>
          <w:tcPr>
            <w:tcW w:w="19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b/>
                <w:bCs/>
                <w:kern w:val="0"/>
                <w:sz w:val="16"/>
                <w:szCs w:val="16"/>
                <w:lang w:val="it-IT" w:eastAsia="en-US" w:bidi="ar-SA"/>
              </w:rPr>
              <w:t>Negativo</w:t>
            </w:r>
          </w:p>
        </w:tc>
        <w:tc>
          <w:tcPr>
            <w:tcW w:w="270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Presenza di segnalazioni da parte dei destinatari.</w:t>
            </w:r>
          </w:p>
        </w:tc>
        <w:tc>
          <w:tcPr>
            <w:tcW w:w="283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-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sz w:val="16"/>
                <w:szCs w:val="16"/>
              </w:rPr>
            </w:pPr>
            <w:r>
              <w:rPr>
                <w:rFonts w:cs="Segoe UI Light" w:ascii="Segoe UI Light" w:hAnsi="Segoe UI Light"/>
                <w:kern w:val="0"/>
                <w:sz w:val="16"/>
                <w:szCs w:val="16"/>
                <w:lang w:val="it-IT" w:eastAsia="en-US" w:bidi="ar-SA"/>
              </w:rPr>
              <w:t>Avvio della procedura di valutazione dei fatti emersi.</w:t>
            </w:r>
          </w:p>
        </w:tc>
      </w:tr>
    </w:tbl>
    <w:p>
      <w:pPr>
        <w:pStyle w:val="Normal"/>
        <w:rPr>
          <w:rFonts w:ascii="Segoe UI Light" w:hAnsi="Segoe UI Light" w:eastAsia="Yu Gothic UI Semilight" w:cs="Segoe UI Light"/>
          <w:color w:themeColor="accent1" w:themeShade="bf" w:val="2F5496"/>
          <w:sz w:val="18"/>
          <w:szCs w:val="16"/>
        </w:rPr>
      </w:pPr>
      <w:r>
        <w:rPr>
          <w:rFonts w:eastAsia="Yu Gothic UI Semilight" w:cs="Segoe UI Light" w:ascii="Segoe UI Light" w:hAnsi="Segoe UI Light"/>
          <w:color w:themeColor="accent1" w:themeShade="bf" w:val="2F5496"/>
          <w:sz w:val="18"/>
          <w:szCs w:val="16"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egoe UI Ligh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00334843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91028346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61752537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  <w:drawing>
        <wp:inline distT="0" distB="0" distL="0" distR="0">
          <wp:extent cx="6120130" cy="550545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lineRule="auto" w:line="259" w:before="0" w:after="160"/>
      <w:textAlignment w:val="auto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Segoe UI Light" w:hAnsi="Segoe UI Light" w:cs="Segoe UI Light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a35bb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a35bb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a35bb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a35bb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2Carattere" w:customStyle="1">
    <w:name w:val="Titolo 2 Carattere"/>
    <w:basedOn w:val="DefaultParagraphFont"/>
    <w:uiPriority w:val="9"/>
    <w:qFormat/>
    <w:rsid w:val="00a35bb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PidipaginaCarattere" w:customStyle="1">
    <w:name w:val="Piè di pagina Carattere"/>
    <w:basedOn w:val="DefaultParagraphFont"/>
    <w:uiPriority w:val="99"/>
    <w:qFormat/>
    <w:rsid w:val="00a35bb4"/>
    <w:rPr/>
  </w:style>
  <w:style w:type="character" w:styleId="IntestazioneCarattere" w:customStyle="1">
    <w:name w:val="Intestazione Carattere"/>
    <w:basedOn w:val="DefaultParagraphFont"/>
    <w:uiPriority w:val="99"/>
    <w:qFormat/>
    <w:rsid w:val="00a35bb4"/>
    <w:rPr/>
  </w:style>
  <w:style w:type="character" w:styleId="StandardCarattere" w:customStyle="1">
    <w:name w:val="Standard Carattere"/>
    <w:basedOn w:val="DefaultParagraphFont"/>
    <w:link w:val="Standard"/>
    <w:qFormat/>
    <w:rsid w:val="00a35bb4"/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a35bb4"/>
    <w:rPr>
      <w:rFonts w:ascii="Calibri" w:hAnsi="Calibri" w:eastAsia="Calibri" w:cs="Tahoma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a35bb4"/>
    <w:rPr>
      <w:rFonts w:ascii="Calibri" w:hAnsi="Calibri" w:eastAsia="Calibri" w:cs="Tahoma"/>
    </w:rPr>
  </w:style>
  <w:style w:type="character" w:styleId="Hyperlink" w:customStyle="1">
    <w:name w:val="Hyperlink"/>
    <w:basedOn w:val="DefaultParagraphFont"/>
    <w:uiPriority w:val="99"/>
    <w:unhideWhenUsed/>
    <w:rsid w:val="00a35bb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qFormat/>
    <w:rsid w:val="00a35bb4"/>
    <w:rPr>
      <w:color w:val="605E5C"/>
      <w:shd w:fill="E1DFDD" w:val="clear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a35bb4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35bb4"/>
    <w:rPr>
      <w:vertAlign w:val="superscript"/>
    </w:rPr>
  </w:style>
  <w:style w:type="character" w:styleId="Annotationreference">
    <w:name w:val="annotation reference"/>
    <w:qFormat/>
    <w:rsid w:val="00a35bb4"/>
    <w:rPr>
      <w:sz w:val="16"/>
      <w:szCs w:val="16"/>
    </w:rPr>
  </w:style>
  <w:style w:type="character" w:styleId="Saltoaindice">
    <w:name w:val="Salto a indic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link w:val="StandardCarattere"/>
    <w:qFormat/>
    <w:rsid w:val="00a35bb4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a35bb4"/>
    <w:pPr>
      <w:widowControl/>
      <w:spacing w:lineRule="auto" w:line="259" w:before="0" w:after="160"/>
      <w:textAlignment w:val="auto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PidipaginaCarattere"/>
    <w:uiPriority w:val="99"/>
    <w:unhideWhenUsed/>
    <w:rsid w:val="00a35bb4"/>
    <w:pPr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IndexHeading">
    <w:name w:val="Index Heading"/>
    <w:basedOn w:val="Titolo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35bb4"/>
    <w:pPr>
      <w:widowControl/>
      <w:suppressAutoHyphens w:val="false"/>
      <w:spacing w:lineRule="auto" w:line="259"/>
      <w:textAlignment w:val="auto"/>
    </w:pPr>
    <w:rPr>
      <w:lang w:eastAsia="it-IT"/>
    </w:rPr>
  </w:style>
  <w:style w:type="paragraph" w:styleId="TOC1">
    <w:name w:val="TOC 1"/>
    <w:basedOn w:val="Normal"/>
    <w:next w:val="Normal"/>
    <w:autoRedefine/>
    <w:uiPriority w:val="39"/>
    <w:unhideWhenUsed/>
    <w:rsid w:val="00a35bb4"/>
    <w:pPr>
      <w:spacing w:before="0" w:after="100"/>
    </w:pPr>
    <w:rPr/>
  </w:style>
  <w:style w:type="paragraph" w:styleId="ListParagraph">
    <w:name w:val="List Paragraph"/>
    <w:basedOn w:val="Standard"/>
    <w:uiPriority w:val="34"/>
    <w:qFormat/>
    <w:rsid w:val="00a35bb4"/>
    <w:pPr>
      <w:spacing w:before="0" w:after="160"/>
      <w:ind w:hanging="0" w:left="720"/>
      <w:contextualSpacing/>
    </w:pPr>
    <w:rPr/>
  </w:style>
  <w:style w:type="paragraph" w:styleId="TOC2">
    <w:name w:val="TOC 2"/>
    <w:basedOn w:val="Normal"/>
    <w:next w:val="Normal"/>
    <w:autoRedefine/>
    <w:uiPriority w:val="39"/>
    <w:unhideWhenUsed/>
    <w:rsid w:val="00a35bb4"/>
    <w:pPr>
      <w:spacing w:before="0" w:after="100"/>
      <w:ind w:hanging="0" w:left="220"/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a35bb4"/>
    <w:pPr>
      <w:widowControl/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a35bb4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OAHeading">
    <w:name w:val="TOA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1">
    <w:name w:val="Grid Table 1 Light Accent 1"/>
    <w:basedOn w:val="Tabellanormale"/>
    <w:uiPriority w:val="46"/>
    <w:rsid w:val="00a35bb4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uiPriority w:val="39"/>
    <w:rsid w:val="00a35b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LibreOffice/7.6.6.3$Windows_X86_64 LibreOffice_project/d97b2716a9a4a2ce1391dee1765565ea469b0ae7</Application>
  <AppVersion>15.0000</AppVersion>
  <Pages>13</Pages>
  <Words>2863</Words>
  <Characters>19038</Characters>
  <CharactersWithSpaces>21515</CharactersWithSpaces>
  <Paragraphs>454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2023-04-06T09:43:00Z</dcterms:created>
  <dc:creator>aldo</dc:creator>
  <dc:description/>
  <dc:language>it-IT</dc:language>
  <cp:lastModifiedBy/>
  <cp:lastPrinted>2023-06-26T15:17:23Z</cp:lastPrinted>
  <dcterms:modified xsi:type="dcterms:W3CDTF">2025-11-04T11:55:49Z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