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center"/>
        <w:rPr>
          <w:rFonts w:cs="Calibri" w:cstheme="minorHAnsi"/>
          <w:b/>
          <w:b/>
          <w:bCs/>
          <w:sz w:val="24"/>
          <w:szCs w:val="24"/>
        </w:rPr>
      </w:pPr>
      <w:r>
        <w:rPr>
          <w:b/>
          <w:i/>
          <w:color w:val="004586"/>
          <w:sz w:val="40"/>
          <w:shd w:fill="auto" w:val="clear"/>
        </w:rPr>
        <w:t>N</w:t>
      </w:r>
      <w:r>
        <w:rPr>
          <w:b/>
          <w:i/>
          <w:color w:val="004586"/>
          <w:sz w:val="32"/>
          <w:shd w:fill="auto" w:val="clear"/>
        </w:rPr>
        <w:t xml:space="preserve">UCLEO </w:t>
      </w:r>
      <w:r>
        <w:rPr>
          <w:b/>
          <w:i/>
          <w:color w:val="004586"/>
          <w:sz w:val="40"/>
          <w:shd w:fill="auto" w:val="clear"/>
        </w:rPr>
        <w:t>R</w:t>
      </w:r>
      <w:r>
        <w:rPr>
          <w:b/>
          <w:i/>
          <w:color w:val="004586"/>
          <w:sz w:val="32"/>
          <w:shd w:fill="auto" w:val="clear"/>
        </w:rPr>
        <w:t xml:space="preserve">EGIONALE </w:t>
      </w:r>
      <w:r>
        <w:rPr>
          <w:b/>
          <w:i/>
          <w:color w:val="004586"/>
          <w:sz w:val="40"/>
          <w:shd w:fill="auto" w:val="clear"/>
        </w:rPr>
        <w:t>C</w:t>
      </w:r>
      <w:r>
        <w:rPr>
          <w:b/>
          <w:i/>
          <w:color w:val="004586"/>
          <w:sz w:val="32"/>
          <w:shd w:fill="auto" w:val="clear"/>
        </w:rPr>
        <w:t xml:space="preserve">ONTI </w:t>
      </w:r>
      <w:r>
        <w:rPr>
          <w:b/>
          <w:i/>
          <w:color w:val="004586"/>
          <w:sz w:val="40"/>
          <w:shd w:fill="auto" w:val="clear"/>
        </w:rPr>
        <w:t>P</w:t>
      </w:r>
      <w:r>
        <w:rPr>
          <w:b/>
          <w:i/>
          <w:color w:val="004586"/>
          <w:sz w:val="32"/>
          <w:shd w:fill="auto" w:val="clear"/>
        </w:rPr>
        <w:t xml:space="preserve">UBBLICI </w:t>
      </w:r>
      <w:r>
        <w:rPr>
          <w:b/>
          <w:i/>
          <w:color w:val="004586"/>
          <w:sz w:val="40"/>
          <w:shd w:fill="auto" w:val="clear"/>
        </w:rPr>
        <w:t>T</w:t>
      </w:r>
      <w:r>
        <w:rPr>
          <w:b/>
          <w:i/>
          <w:color w:val="004586"/>
          <w:sz w:val="32"/>
          <w:shd w:fill="auto" w:val="clear"/>
        </w:rPr>
        <w:t xml:space="preserve">ERRITORIALI </w:t>
      </w:r>
    </w:p>
    <w:p>
      <w:pPr>
        <w:pStyle w:val="Normal"/>
        <w:spacing w:lineRule="auto" w:line="240" w:before="0" w:after="0"/>
        <w:jc w:val="center"/>
        <w:rPr>
          <w:color w:val="004586"/>
          <w:shd w:fill="auto" w:val="clear"/>
        </w:rPr>
      </w:pPr>
      <w:r>
        <w:rPr>
          <w:b/>
          <w:i/>
          <w:color w:val="004586"/>
          <w:sz w:val="32"/>
          <w:shd w:fill="auto" w:val="clear"/>
        </w:rPr>
        <w:t xml:space="preserve"> </w:t>
      </w:r>
      <w:r>
        <w:rPr>
          <w:b/>
          <w:i/>
          <w:color w:val="004586"/>
          <w:sz w:val="40"/>
          <w:shd w:fill="auto" w:val="clear"/>
        </w:rPr>
        <w:t>R</w:t>
      </w:r>
      <w:r>
        <w:rPr>
          <w:b/>
          <w:i/>
          <w:color w:val="004586"/>
          <w:sz w:val="32"/>
          <w:shd w:fill="auto" w:val="clear"/>
        </w:rPr>
        <w:t xml:space="preserve">EGIONE </w:t>
      </w:r>
      <w:r>
        <w:rPr>
          <w:b/>
          <w:i/>
          <w:color w:val="004586"/>
          <w:sz w:val="40"/>
          <w:shd w:fill="auto" w:val="clear"/>
        </w:rPr>
        <w:t>P</w:t>
      </w:r>
      <w:r>
        <w:rPr>
          <w:b/>
          <w:i/>
          <w:color w:val="004586"/>
          <w:sz w:val="32"/>
          <w:shd w:fill="auto" w:val="clear"/>
        </w:rPr>
        <w:t xml:space="preserve">IEMONTE </w:t>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center"/>
        <w:rPr>
          <w:color w:val="004586"/>
        </w:rPr>
      </w:pPr>
      <w:r>
        <w:rPr>
          <w:rFonts w:ascii="arial;helvetica;sans-serif" w:hAnsi="arial;helvetica;sans-serif"/>
          <w:b/>
          <w:i/>
          <w:caps w:val="false"/>
          <w:smallCaps w:val="false"/>
          <w:strike w:val="false"/>
          <w:dstrike w:val="false"/>
          <w:color w:val="004586"/>
          <w:spacing w:val="0"/>
          <w:sz w:val="32"/>
          <w:u w:val="none"/>
        </w:rPr>
        <w:t>Open Data Piemonte "Le entrate regionali secondo i Conti Pubblici Territoriali: un approfondimento sui flussi di entrata del Settore Pubblico Allargato della Regione Piemonte”</w:t>
      </w:r>
    </w:p>
    <w:p>
      <w:pPr>
        <w:pStyle w:val="Normal"/>
        <w:spacing w:lineRule="auto" w:line="240" w:before="0" w:after="0"/>
        <w:jc w:val="center"/>
        <w:rPr>
          <w:color w:val="004586"/>
        </w:rPr>
      </w:pPr>
      <w:r>
        <w:rPr>
          <w:b/>
          <w:i/>
          <w:strike w:val="false"/>
          <w:dstrike w:val="false"/>
          <w:color w:val="004586"/>
          <w:sz w:val="30"/>
          <w:szCs w:val="30"/>
          <w:u w:val="none"/>
        </w:rPr>
        <w:t xml:space="preserve">(FOCUS SULLA REGIONE PIEMONTE) </w:t>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120130" cy="152400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tretch>
                      <a:fillRect/>
                    </a:stretch>
                  </pic:blipFill>
                  <pic:spPr bwMode="auto">
                    <a:xfrm>
                      <a:off x="0" y="0"/>
                      <a:ext cx="6120130" cy="1524000"/>
                    </a:xfrm>
                    <a:prstGeom prst="rect">
                      <a:avLst/>
                    </a:prstGeom>
                  </pic:spPr>
                </pic:pic>
              </a:graphicData>
            </a:graphic>
          </wp:anchor>
        </w:drawing>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drawing>
          <wp:anchor behindDoc="0" distT="0" distB="0" distL="0" distR="0" simplePos="0" locked="0" layoutInCell="0" allowOverlap="1" relativeHeight="11">
            <wp:simplePos x="0" y="0"/>
            <wp:positionH relativeFrom="column">
              <wp:posOffset>3937000</wp:posOffset>
            </wp:positionH>
            <wp:positionV relativeFrom="paragraph">
              <wp:posOffset>-83820</wp:posOffset>
            </wp:positionV>
            <wp:extent cx="1708785" cy="779780"/>
            <wp:effectExtent l="0" t="0" r="0" b="0"/>
            <wp:wrapSquare wrapText="largest"/>
            <wp:docPr id="2" name="Immagin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3" descr=""/>
                    <pic:cNvPicPr>
                      <a:picLocks noChangeAspect="1" noChangeArrowheads="1"/>
                    </pic:cNvPicPr>
                  </pic:nvPicPr>
                  <pic:blipFill>
                    <a:blip r:embed="rId3"/>
                    <a:srcRect l="-39" t="-85" r="-39" b="-85"/>
                    <a:stretch>
                      <a:fillRect/>
                    </a:stretch>
                  </pic:blipFill>
                  <pic:spPr bwMode="auto">
                    <a:xfrm>
                      <a:off x="0" y="0"/>
                      <a:ext cx="1708785" cy="779780"/>
                    </a:xfrm>
                    <a:prstGeom prst="rect">
                      <a:avLst/>
                    </a:prstGeom>
                  </pic:spPr>
                </pic:pic>
              </a:graphicData>
            </a:graphic>
          </wp:anchor>
        </w:drawing>
        <w:drawing>
          <wp:anchor behindDoc="0" distT="0" distB="0" distL="0" distR="0" simplePos="0" locked="0" layoutInCell="0" allowOverlap="1" relativeHeight="12">
            <wp:simplePos x="0" y="0"/>
            <wp:positionH relativeFrom="column">
              <wp:posOffset>-142875</wp:posOffset>
            </wp:positionH>
            <wp:positionV relativeFrom="paragraph">
              <wp:posOffset>-62865</wp:posOffset>
            </wp:positionV>
            <wp:extent cx="3563620" cy="840740"/>
            <wp:effectExtent l="0" t="0" r="0" b="0"/>
            <wp:wrapSquare wrapText="largest"/>
            <wp:docPr id="3" name="Immagin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4" descr=""/>
                    <pic:cNvPicPr>
                      <a:picLocks noChangeAspect="1" noChangeArrowheads="1"/>
                    </pic:cNvPicPr>
                  </pic:nvPicPr>
                  <pic:blipFill>
                    <a:blip r:embed="rId4"/>
                    <a:srcRect l="-8" t="-36" r="-8" b="-36"/>
                    <a:stretch>
                      <a:fillRect/>
                    </a:stretch>
                  </pic:blipFill>
                  <pic:spPr bwMode="auto">
                    <a:xfrm>
                      <a:off x="0" y="0"/>
                      <a:ext cx="3563620" cy="840740"/>
                    </a:xfrm>
                    <a:prstGeom prst="rect">
                      <a:avLst/>
                    </a:prstGeom>
                  </pic:spPr>
                </pic:pic>
              </a:graphicData>
            </a:graphic>
          </wp:anchor>
        </w:drawing>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360" w:before="0" w:after="0"/>
        <w:jc w:val="both"/>
        <w:rPr>
          <w:i/>
          <w:i/>
          <w:iCs/>
        </w:rPr>
      </w:pPr>
      <w:r>
        <w:rPr>
          <w:rFonts w:cs="Calibri" w:cstheme="minorHAnsi"/>
          <w:b/>
          <w:bCs/>
          <w:i/>
          <w:iCs/>
          <w:sz w:val="23"/>
          <w:szCs w:val="24"/>
        </w:rPr>
        <w:t>Nucleo Regionale Conti Pubblici Territoriali Regione Piemonte</w:t>
      </w:r>
    </w:p>
    <w:p>
      <w:pPr>
        <w:pStyle w:val="Normal"/>
        <w:spacing w:lineRule="auto" w:line="360" w:before="0" w:after="0"/>
        <w:jc w:val="both"/>
        <w:rPr>
          <w:i/>
          <w:i/>
          <w:iCs/>
        </w:rPr>
      </w:pPr>
      <w:r>
        <w:rPr>
          <w:i/>
          <w:iCs/>
          <w:strike w:val="false"/>
          <w:dstrike w:val="false"/>
          <w:sz w:val="23"/>
          <w:u w:val="none"/>
        </w:rPr>
        <w:t>Direzione Risorse Finanziarie e Patrimonio, Settore Acquisizione e Controllo delle Risorse Finanziarie, Responsabile dott. Giovanni Lepri. Collaborazione scientifica dell’IRES Piemonte con il supporto tecnico-specialistico dott. Santino Piazza.</w:t>
      </w:r>
    </w:p>
    <w:p>
      <w:pPr>
        <w:pStyle w:val="Normal"/>
        <w:spacing w:lineRule="auto" w:line="360" w:before="0" w:after="0"/>
        <w:jc w:val="both"/>
        <w:rPr>
          <w:i/>
          <w:i/>
          <w:iCs/>
        </w:rPr>
      </w:pPr>
      <w:r>
        <w:rPr>
          <w:i/>
          <w:iCs/>
          <w:strike w:val="false"/>
          <w:dstrike w:val="false"/>
          <w:sz w:val="23"/>
          <w:u w:val="none"/>
        </w:rPr>
        <w:t>Il lavoro di seguito proposto riflette il percorso metodologico ed istituzionale del Sistema Conti Pubblici Territoriali ed i dati riportati sono tratti dalla Banca Dati CPT – Agenzia per la Coesione Territoriale, aggiornati a dicembre 2022 su dati consolidati 2020 ed elaborati a cura del Nucleo CPT – Regione Piemonte.</w:t>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Fonts w:cs="Comic Sans MS" w:ascii="Comic Sans MS" w:hAnsi="Comic Sans MS"/>
          <w:szCs w:val="14"/>
        </w:rPr>
      </w:r>
    </w:p>
    <w:p>
      <w:pPr>
        <w:pStyle w:val="Normal"/>
        <w:jc w:val="both"/>
        <w:rPr>
          <w:rFonts w:ascii="Comic Sans MS" w:hAnsi="Comic Sans MS" w:cs="Comic Sans MS"/>
          <w:szCs w:val="14"/>
        </w:rPr>
      </w:pPr>
      <w:r>
        <w:rPr/>
      </w:r>
    </w:p>
    <w:p>
      <w:pPr>
        <w:pStyle w:val="Normal"/>
        <w:jc w:val="both"/>
        <w:rPr/>
      </w:pPr>
      <w:r>
        <w:rPr>
          <w:rFonts w:cs="Comic Sans MS" w:ascii="Comic Sans MS" w:hAnsi="Comic Sans MS"/>
          <w:szCs w:val="14"/>
        </w:rPr>
        <w:t xml:space="preserve">La presente elaborazione presenta un’analisi delle entrate consolidate attraverso uno studio comparato e sintetico sia a livello nazionale che a livello regionale, con particolare attenzione rispetto alla Regione Piemonte. </w:t>
      </w:r>
    </w:p>
    <w:p>
      <w:pPr>
        <w:pStyle w:val="Normal"/>
        <w:jc w:val="both"/>
        <w:rPr>
          <w:rFonts w:ascii="Comic Sans MS" w:hAnsi="Comic Sans MS" w:cs="Comic Sans MS"/>
          <w:sz w:val="22"/>
          <w:szCs w:val="22"/>
        </w:rPr>
      </w:pPr>
      <w:r>
        <w:rPr>
          <w:rFonts w:cs="Comic Sans MS" w:ascii="Comic Sans MS" w:hAnsi="Comic Sans MS"/>
          <w:b w:val="false"/>
          <w:i w:val="false"/>
          <w:caps w:val="false"/>
          <w:smallCaps w:val="false"/>
          <w:color w:val="000000"/>
          <w:spacing w:val="0"/>
          <w:sz w:val="22"/>
          <w:szCs w:val="22"/>
        </w:rPr>
        <w:t>L’analisi utilizza i dati resi disponibili dalla Banca Dati CPT, aggiornati con i dati del conto consolidato 2020, prendendo in esame le entrate dell’arco temporale 2000-2020, per i livelli di governo centrale, regionale e locale al fine di effettuare un confronto tra i dati del Piemonte e le macro aree del Centro Nord e del Mezzogiorno. In particolare, sono stati evidenziati i trend più rilevanti del 2020, l’anno della pandemia da Covid-19.</w:t>
      </w:r>
      <w:r>
        <w:rPr>
          <w:rFonts w:cs="Comic Sans MS" w:ascii="Comic Sans MS" w:hAnsi="Comic Sans MS"/>
          <w:sz w:val="22"/>
          <w:szCs w:val="22"/>
        </w:rPr>
        <w:t xml:space="preserve"> </w:t>
      </w:r>
    </w:p>
    <w:p>
      <w:pPr>
        <w:pStyle w:val="Normal"/>
        <w:spacing w:lineRule="auto" w:line="240" w:before="0" w:after="0"/>
        <w:jc w:val="both"/>
        <w:rPr>
          <w:rFonts w:cs="Calibri" w:cstheme="minorHAnsi"/>
          <w:b/>
          <w:b/>
          <w:bCs/>
          <w:sz w:val="24"/>
          <w:szCs w:val="24"/>
        </w:rPr>
      </w:pPr>
      <w:r>
        <w:rPr>
          <w:rFonts w:cs="Calibri" w:cstheme="minorHAnsi"/>
          <w:b/>
          <w:bCs/>
          <w:sz w:val="24"/>
          <w:szCs w:val="24"/>
        </w:rPr>
        <w:t>1. ALCUNE DINAMICHE REGIONALI</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t>Nel 2020 la popolazione del Piemonte, con 4,27 milioni di abitanti, rappresenta il 10,9 per cento circa della popolazione dell’intero Centro-Nord, e, rispetto all’intera nazione, la regione si posiziona come settima per numero di soggetti residenti. A partire dal 2015, i tassi di variazione della popolazione si presentano costantemente negativi (cfr. Figura1); in particolare, nel 2020, il numero di abitanti nella regione si riduce dello 0,8 per cento rispetto al 2019,</w:t>
      </w:r>
      <w:bookmarkStart w:id="0" w:name="_GoBack"/>
      <w:bookmarkEnd w:id="0"/>
      <w:r>
        <w:rPr>
          <w:rFonts w:cs="Calibri" w:cstheme="minorHAnsi"/>
          <w:color w:val="000000"/>
        </w:rPr>
        <w:t xml:space="preserve"> mentre nella macro area di riferimento il decremento è meno accentuato (-0,4 per cento).</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1. POPOLAZIONE RESIDENTE MEDIA (tassi di variazione annui)</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Istat, Bilancio demografico</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t>Nel 2020 il Prodotto Interno Lordo (PIL) della regione è pari, in termini reali, a 120,2 miliardi di euro, e rappresenta il 9,8 per cento del totale Centro-Nord.</w:t>
      </w:r>
    </w:p>
    <w:p>
      <w:pPr>
        <w:pStyle w:val="Normal"/>
        <w:spacing w:lineRule="auto" w:line="240" w:before="0" w:after="0"/>
        <w:jc w:val="both"/>
        <w:rPr>
          <w:rFonts w:cs="Calibri" w:cstheme="minorHAnsi"/>
          <w:color w:val="000000"/>
        </w:rPr>
      </w:pPr>
      <w:r>
        <w:rPr>
          <w:rFonts w:cs="Calibri" w:cstheme="minorHAnsi"/>
          <w:color w:val="000000"/>
        </w:rPr>
        <w:t>Nell’anno 2020 si osserva un crollo del PIL del 9,7 per cento dovuto alle misure di contenimento sociale introdotte a causa della pandemia COVID-19 (cfr. Figura 2). La diminuzione è più marcata rispetto a quanto si osserva sia nel Centro-Nord che nel Mezzogiorno (rispettivamente, -9,1 per cento e -8,6 per cento).</w:t>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2 PRODOTTO INTERNO LORDO A PREZZI COSTANTI, BASE 2015 (tassi di variazione annui)</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Istat - Conti economici territoriali</w:t>
      </w:r>
    </w:p>
    <w:p>
      <w:pPr>
        <w:pStyle w:val="Normal"/>
        <w:spacing w:lineRule="auto" w:line="240" w:before="0" w:after="0"/>
        <w:jc w:val="both"/>
        <w:rPr>
          <w:rFonts w:cs="Calibri" w:cstheme="minorHAnsi"/>
          <w:b/>
          <w:b/>
          <w:bCs/>
          <w:color w:val="4F82BE"/>
          <w:sz w:val="24"/>
          <w:szCs w:val="24"/>
        </w:rPr>
      </w:pPr>
      <w:r>
        <w:rPr>
          <w:rFonts w:cs="Calibri" w:cstheme="minorHAnsi"/>
          <w:b/>
          <w:bCs/>
          <w:color w:val="4F82BE"/>
          <w:sz w:val="24"/>
          <w:szCs w:val="24"/>
        </w:rPr>
      </w:r>
    </w:p>
    <w:p>
      <w:pPr>
        <w:pStyle w:val="Normal"/>
        <w:spacing w:lineRule="auto" w:line="240" w:before="0" w:after="0"/>
        <w:jc w:val="both"/>
        <w:rPr>
          <w:rFonts w:cs="Calibri" w:cstheme="minorHAnsi"/>
          <w:b/>
          <w:b/>
          <w:bCs/>
          <w:color w:val="4F82BE"/>
          <w:sz w:val="24"/>
          <w:szCs w:val="24"/>
        </w:rPr>
      </w:pPr>
      <w:r>
        <w:rPr>
          <w:rFonts w:cs="Calibri" w:cstheme="minorHAnsi"/>
          <w:b/>
          <w:bCs/>
          <w:color w:val="4F82BE"/>
          <w:sz w:val="24"/>
          <w:szCs w:val="24"/>
        </w:rPr>
      </w:r>
    </w:p>
    <w:p>
      <w:pPr>
        <w:pStyle w:val="Normal"/>
        <w:spacing w:lineRule="auto" w:line="240" w:before="0" w:after="0"/>
        <w:jc w:val="both"/>
        <w:rPr>
          <w:rFonts w:cs="Calibri" w:cstheme="minorHAnsi"/>
          <w:b/>
          <w:b/>
          <w:bCs/>
          <w:color w:val="4F82BE"/>
          <w:sz w:val="24"/>
          <w:szCs w:val="24"/>
        </w:rPr>
      </w:pPr>
      <w:r>
        <w:rPr>
          <w:rFonts w:cs="Calibri" w:cstheme="minorHAnsi"/>
          <w:b/>
          <w:bCs/>
          <w:color w:val="4F82BE"/>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t>2. I FLUSSI DI ENTRATA DEL SETTORE PUBBLICO ALLARGATO</w:t>
      </w:r>
    </w:p>
    <w:p>
      <w:pPr>
        <w:pStyle w:val="Normal"/>
        <w:spacing w:lineRule="auto" w:line="240" w:before="0" w:after="0"/>
        <w:jc w:val="both"/>
        <w:rPr>
          <w:rFonts w:cs="Calibri" w:cstheme="minorHAnsi"/>
          <w:b/>
          <w:b/>
          <w:bCs/>
          <w:color w:val="4F82BE"/>
          <w:sz w:val="24"/>
          <w:szCs w:val="24"/>
        </w:rPr>
      </w:pPr>
      <w:r>
        <w:rPr>
          <w:rFonts w:cs="Calibri" w:cstheme="minorHAnsi"/>
          <w:b/>
          <w:bCs/>
          <w:color w:val="4F82BE"/>
          <w:sz w:val="24"/>
          <w:szCs w:val="24"/>
        </w:rPr>
      </w:r>
    </w:p>
    <w:p>
      <w:pPr>
        <w:pStyle w:val="Normal"/>
        <w:spacing w:lineRule="auto" w:line="240" w:before="0" w:after="0"/>
        <w:jc w:val="both"/>
        <w:rPr>
          <w:rFonts w:cs="Calibri" w:cstheme="minorHAnsi"/>
          <w:color w:val="000000"/>
        </w:rPr>
      </w:pPr>
      <w:r>
        <w:rPr>
          <w:rFonts w:cs="Calibri" w:cstheme="minorHAnsi"/>
          <w:color w:val="000000"/>
        </w:rPr>
        <w:t>Nel 2020 le entrate</w:t>
      </w:r>
      <w:r>
        <w:rPr>
          <w:rFonts w:cs="Calibri" w:cstheme="minorHAnsi"/>
          <w:color w:val="000000"/>
          <w:sz w:val="14"/>
          <w:szCs w:val="14"/>
        </w:rPr>
        <w:t xml:space="preserve"> </w:t>
      </w:r>
      <w:r>
        <w:rPr>
          <w:rFonts w:cs="Calibri" w:cstheme="minorHAnsi"/>
          <w:color w:val="000000"/>
        </w:rPr>
        <w:t>del Settore Pubblico Allargato (SPA) in Piemonte ammontano, in termini reali, a 75.837 milioni di euro, e rappresentano il 9,9 per cento del totale Centro-Nord, pari a 765.859 milioni di euro. I valori assoluti riportati in Figura 3 mostrano un salto del livello delle entrate piemontesi tra il 2006 ed il 2008, imputabile principalmente all’incremento dei Tributi propri dello Stato, per poi riportarsi su quote più contenute negli anni successivi. Dopo una crescita osservabile nel periodo 2014-2019, nell’ultimo anno le entrate del SPA in Piemonte subiscono una flessione dell’8,6 per cento a causa dello stop delle attività economiche e delle misure di contenimento sociale introdotte a causa del COVID-19.</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3 SPA - ENTRATE TOTALI PIEMONTE (milioni di euro a prezzi costanti 2015)</w:t>
      </w:r>
    </w:p>
    <w:p>
      <w:pPr>
        <w:pStyle w:val="Normal"/>
        <w:spacing w:lineRule="auto" w:line="240" w:before="0" w:after="0"/>
        <w:jc w:val="both"/>
        <w:rPr>
          <w:rFonts w:cs="Calibri" w:cstheme="minorHAnsi"/>
          <w:b/>
          <w:b/>
          <w:bCs/>
          <w:color w:val="4F82BE"/>
          <w:sz w:val="20"/>
          <w:szCs w:val="20"/>
        </w:rPr>
      </w:pPr>
      <w:r>
        <w:rPr/>
        <w:drawing>
          <wp:inline distT="0" distB="0" distL="0" distR="0">
            <wp:extent cx="5581650" cy="3134995"/>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240" w:before="0" w:after="0"/>
        <w:jc w:val="both"/>
        <w:rPr>
          <w:rFonts w:cs="Calibri" w:cstheme="minorHAnsi"/>
          <w:color w:val="000000"/>
          <w:sz w:val="16"/>
          <w:szCs w:val="16"/>
        </w:rPr>
      </w:pPr>
      <w:r>
        <w:rPr>
          <w:rFonts w:cs="Calibri" w:cstheme="minorHAnsi"/>
          <w:color w:val="000000"/>
          <w:sz w:val="16"/>
          <w:szCs w:val="16"/>
        </w:rPr>
        <w:t>Fonte: Sistema Conti Pubblici Territoriali</w:t>
      </w:r>
    </w:p>
    <w:p>
      <w:pPr>
        <w:pStyle w:val="Normal"/>
        <w:spacing w:lineRule="auto" w:line="240" w:before="0" w:after="0"/>
        <w:jc w:val="both"/>
        <w:rPr>
          <w:rFonts w:cs="Calibri" w:cstheme="minorHAnsi"/>
          <w:color w:val="000000"/>
        </w:rPr>
      </w:pPr>
      <w:r>
        <w:rPr>
          <w:rFonts w:cs="Calibri" w:cstheme="minorHAnsi"/>
          <w:color w:val="000000"/>
        </w:rPr>
        <w:t>Nel 2020 le entrate per abitante nella regione ammontano a 17.740 euro pro capite, con una diminuzione del 7,9 per cento rispetto al 2019. In Piemonte l’aggregato presenta un andamento simile a quello del Centro-Nord, dove nell’ultimo anno si assiste ad un decremento del 6,7 per cento, e valori costantemente inferiori a quelli della macro area di riferimento durante tutto il periodo considerato (cfr. Figura 4). In particolare, nell’ultimo anno le entrate per abitante nella macro area sono pari a 19.500 euro, mentre assumono un valore molto più basso nel Mezzogiorno (11.188 euro pro capite).</w:t>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4 SPA - ENTRATE TOTALI (euro pro capite costanti 2015)</w:t>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color w:val="000000"/>
          <w:sz w:val="16"/>
          <w:szCs w:val="16"/>
        </w:rPr>
      </w:pPr>
      <w:r>
        <w:rPr/>
        <w:drawing>
          <wp:inline distT="0" distB="0" distL="0" distR="0">
            <wp:extent cx="5934075" cy="3248025"/>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before="0" w:after="0"/>
        <w:jc w:val="both"/>
        <w:rPr>
          <w:rFonts w:cs="Calibri" w:cstheme="minorHAnsi"/>
          <w:color w:val="000000"/>
          <w:sz w:val="16"/>
          <w:szCs w:val="16"/>
        </w:rPr>
      </w:pPr>
      <w:r>
        <w:rPr>
          <w:rFonts w:cs="Calibri" w:cstheme="minorHAnsi"/>
          <w:color w:val="000000"/>
          <w:sz w:val="16"/>
          <w:szCs w:val="16"/>
        </w:rPr>
      </w:r>
    </w:p>
    <w:p>
      <w:pPr>
        <w:pStyle w:val="Normal"/>
        <w:spacing w:lineRule="auto" w:line="240" w:before="0" w:after="0"/>
        <w:jc w:val="both"/>
        <w:rPr>
          <w:rFonts w:cs="Calibri" w:cstheme="minorHAnsi"/>
          <w:color w:val="000000"/>
          <w:sz w:val="16"/>
          <w:szCs w:val="16"/>
        </w:rPr>
      </w:pPr>
      <w:r>
        <w:rPr>
          <w:rFonts w:cs="Calibri" w:cstheme="minorHAnsi"/>
          <w:color w:val="000000"/>
          <w:sz w:val="16"/>
          <w:szCs w:val="16"/>
        </w:rPr>
        <w:t>Fonte: Sistema Conti Pubblici Territoriali e Istat</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t>Nel 2020, in Piemonte, l’indicatore che rappresenta i tributi e contributi sociali, al lordo dei rimborsi, in rapporto al PIL è pari al 50,3 per cento, valore più elevato dall’inizio della serie storica (cfr. Figura 5). È da considerare tuttavia che a contribuire alla crescita dell’indicatore è soprattutto la diminuzione del PIL. Nella regione l’indicatore si attesta su un livello più elevato rispetto ad entrambe le macro aree (nel 2020, 47,6 per cento nel Centro-Nord e 48,9 per cento nel Mezzogiorno).</w:t>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color w:val="4F82BE"/>
          <w:sz w:val="20"/>
          <w:szCs w:val="20"/>
        </w:rPr>
      </w:pPr>
      <w:r>
        <w:rPr>
          <w:rFonts w:cs="Calibri" w:cstheme="minorHAnsi"/>
          <w:b/>
          <w:bCs/>
          <w:color w:val="4F82BE"/>
          <w:sz w:val="20"/>
          <w:szCs w:val="2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5. SPA - TRIBUTI E CONTRIBUTI SOCIALI SU PIL (valori percentuali)</w:t>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Sistema Conti Pubblici Territoriali e Istat</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rPr>
      </w:pPr>
      <w:r>
        <w:rPr>
          <w:rFonts w:cs="Calibri" w:cstheme="minorHAnsi"/>
          <w:color w:val="000000"/>
        </w:rPr>
        <w:t>I tre grafici che seguono riportano il dettaglio delle imposte dirette, indirette e altri tributi a valori pro capite in Piemonte e nelle ripartizioni.</w:t>
      </w:r>
    </w:p>
    <w:p>
      <w:pPr>
        <w:pStyle w:val="Normal"/>
        <w:spacing w:lineRule="auto" w:line="240" w:before="0" w:after="0"/>
        <w:jc w:val="both"/>
        <w:rPr>
          <w:rFonts w:cs="Calibri" w:cstheme="minorHAnsi"/>
          <w:color w:val="000000"/>
        </w:rPr>
      </w:pPr>
      <w:r>
        <w:rPr>
          <w:rFonts w:cs="Calibri" w:cstheme="minorHAnsi"/>
          <w:color w:val="000000"/>
        </w:rPr>
        <w:t>Per quanto riguarda le imposte dirette in Piemonte (cfr. Figura 6) si assiste a partire dal 2014 alla convergenza con il dato della ripartizione del Centro-Nord. Nel Mezzogiorno, in termini pro capite, il livello è circa la metà, nonostante si assista nel periodo un costante aumento, seppur lieve.</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6. SPA – IMPOSTE DIRETTE (euro pro capite costanti 2015)</w:t>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spacing w:lineRule="auto" w:line="240" w:before="0" w:after="0"/>
        <w:jc w:val="center"/>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Sistema Conti Pubblici Territoriali e Istat</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t>Le entrate indirette (cfr. Figura 7) sono la categoria che ha più risentito del blocco delle attività economiche nel 2020. In Piemonte nell’ultimo anno della serie queste diminuiscono di circa il 12 per cento, in linea con la ripartizione del Centro-Nord. Nelle regioni del Mezzogiorno la diminuzione è più contenuta, di poco inferiore al 10 per cento.</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7. SPA – IMPOSTE INDIRETTE (euro pro capite costanti 2015)</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Sistema Conti Pubblici Territoriali e Istat</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rPr>
      </w:pPr>
      <w:r>
        <w:rPr>
          <w:rFonts w:cs="Calibri" w:cstheme="minorHAnsi"/>
          <w:color w:val="000000"/>
        </w:rPr>
        <w:t>Gli altri tributi propri (cfr. Figura 8) hanno invece una dinamica meno lineare nel tempo. Per tutte le ripartizioni i livelli pro capite sono bassi fino al 2010, ma raggiungono un massimo nel 2014, per andarsi a stabilizzare su livelli più intermedi nell’ultima parte della serie storica.</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b/>
          <w:b/>
          <w:bCs/>
          <w:sz w:val="20"/>
          <w:szCs w:val="20"/>
        </w:rPr>
      </w:pPr>
      <w:r>
        <w:rPr>
          <w:rFonts w:cs="Calibri" w:cstheme="minorHAnsi"/>
          <w:b/>
          <w:bCs/>
          <w:sz w:val="20"/>
          <w:szCs w:val="20"/>
        </w:rPr>
        <w:t>Figura 8. SPA – ALTRI TRIBUTI PROPRI (euro pro capite costanti 2015)</w:t>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r>
    </w:p>
    <w:p>
      <w:pPr>
        <w:pStyle w:val="Normal"/>
        <w:spacing w:lineRule="auto" w:line="240" w:before="0" w:after="0"/>
        <w:jc w:val="center"/>
        <w:rPr>
          <w:rFonts w:cs="Calibri" w:cstheme="minorHAnsi"/>
          <w:color w:val="000000"/>
          <w:sz w:val="17"/>
          <w:szCs w:val="17"/>
        </w:rPr>
      </w:pPr>
      <w:r>
        <w:rPr/>
        <w:drawing>
          <wp:inline distT="0" distB="0" distL="0" distR="0">
            <wp:extent cx="4572000" cy="2743200"/>
            <wp:effectExtent l="0" t="0" r="0" b="0"/>
            <wp:docPr id="1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spacing w:lineRule="auto" w:line="240" w:before="0" w:after="0"/>
        <w:jc w:val="both"/>
        <w:rPr>
          <w:rFonts w:cs="Calibri" w:cstheme="minorHAnsi"/>
          <w:color w:val="000000"/>
          <w:sz w:val="17"/>
          <w:szCs w:val="17"/>
        </w:rPr>
      </w:pPr>
      <w:r>
        <w:rPr>
          <w:rFonts w:cs="Calibri" w:cstheme="minorHAnsi"/>
          <w:color w:val="000000"/>
          <w:sz w:val="17"/>
          <w:szCs w:val="17"/>
        </w:rPr>
        <w:t>Fonte: Sistema Conti Pubblici Territoriali e Istat</w:t>
      </w:r>
    </w:p>
    <w:p>
      <w:pPr>
        <w:pStyle w:val="Normal"/>
        <w:spacing w:lineRule="auto" w:line="240" w:before="0" w:after="0"/>
        <w:jc w:val="center"/>
        <w:rPr>
          <w:rFonts w:cs="Calibri" w:cstheme="minorHAnsi"/>
          <w:color w:val="000000"/>
          <w:sz w:val="17"/>
          <w:szCs w:val="17"/>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arial">
    <w:altName w:val="helvetica"/>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3">
    <w:name w:val="Heading 3"/>
    <w:basedOn w:val="Titolo"/>
    <w:next w:val="Corpodeltesto"/>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d030f2"/>
    <w:rPr>
      <w:rFonts w:ascii="Tahoma" w:hAnsi="Tahoma" w:cs="Tahoma"/>
      <w:sz w:val="16"/>
      <w:szCs w:val="16"/>
    </w:rPr>
  </w:style>
  <w:style w:type="character" w:styleId="Annotationreference">
    <w:name w:val="annotation reference"/>
    <w:basedOn w:val="DefaultParagraphFont"/>
    <w:uiPriority w:val="99"/>
    <w:semiHidden/>
    <w:unhideWhenUsed/>
    <w:qFormat/>
    <w:rsid w:val="0026110e"/>
    <w:rPr>
      <w:sz w:val="16"/>
      <w:szCs w:val="16"/>
    </w:rPr>
  </w:style>
  <w:style w:type="character" w:styleId="TestocommentoCarattere" w:customStyle="1">
    <w:name w:val="Testo commento Carattere"/>
    <w:basedOn w:val="DefaultParagraphFont"/>
    <w:link w:val="Testocommento"/>
    <w:uiPriority w:val="99"/>
    <w:semiHidden/>
    <w:qFormat/>
    <w:rsid w:val="0026110e"/>
    <w:rPr>
      <w:sz w:val="20"/>
      <w:szCs w:val="20"/>
    </w:rPr>
  </w:style>
  <w:style w:type="character" w:styleId="SoggettocommentoCarattere" w:customStyle="1">
    <w:name w:val="Soggetto commento Carattere"/>
    <w:basedOn w:val="TestocommentoCarattere"/>
    <w:link w:val="Soggettocommento"/>
    <w:uiPriority w:val="99"/>
    <w:semiHidden/>
    <w:qFormat/>
    <w:rsid w:val="0026110e"/>
    <w:rPr>
      <w:b/>
      <w:bCs/>
      <w:sz w:val="20"/>
      <w:szCs w:val="20"/>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BalloonText">
    <w:name w:val="Balloon Text"/>
    <w:basedOn w:val="Normal"/>
    <w:link w:val="TestofumettoCarattere"/>
    <w:uiPriority w:val="99"/>
    <w:semiHidden/>
    <w:unhideWhenUsed/>
    <w:qFormat/>
    <w:rsid w:val="00d030f2"/>
    <w:pPr>
      <w:spacing w:lineRule="auto" w:line="240" w:before="0" w:after="0"/>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26110e"/>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26110e"/>
    <w:pPr/>
    <w:rPr>
      <w:b/>
      <w:bCs/>
    </w:rPr>
  </w:style>
  <w:style w:type="paragraph" w:styleId="Revision">
    <w:name w:val="Revision"/>
    <w:uiPriority w:val="99"/>
    <w:semiHidden/>
    <w:qFormat/>
    <w:rsid w:val="0026110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NoSpacing">
    <w:name w:val="No Spacing"/>
    <w:uiPriority w:val="1"/>
    <w:qFormat/>
    <w:rsid w:val="0057630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Centro-Nord</c:v>
                </c:pt>
              </c:strCache>
            </c:strRef>
          </c:tx>
          <c:spPr>
            <a:solidFill>
              <a:srgbClr val="4f81bd"/>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0</c:f>
              <c:numCache>
                <c:formatCode>General</c:formatCode>
                <c:ptCount val="20"/>
                <c:pt idx="0">
                  <c:v>-1.37175714481963</c:v>
                </c:pt>
                <c:pt idx="1">
                  <c:v>0.760031134888607</c:v>
                </c:pt>
                <c:pt idx="2">
                  <c:v>1.25369562830822</c:v>
                </c:pt>
                <c:pt idx="3">
                  <c:v>1.31750731700018</c:v>
                </c:pt>
                <c:pt idx="4">
                  <c:v>0.733420743178129</c:v>
                </c:pt>
                <c:pt idx="5">
                  <c:v>1.01076394134923</c:v>
                </c:pt>
                <c:pt idx="6">
                  <c:v>1.08624824908577</c:v>
                </c:pt>
                <c:pt idx="7">
                  <c:v>1.02159640514212</c:v>
                </c:pt>
                <c:pt idx="8">
                  <c:v>0.689163318603292</c:v>
                </c:pt>
                <c:pt idx="9">
                  <c:v>0.645441222270279</c:v>
                </c:pt>
                <c:pt idx="10">
                  <c:v>-2.33449850143211</c:v>
                </c:pt>
                <c:pt idx="11">
                  <c:v>0.715747011780138</c:v>
                </c:pt>
                <c:pt idx="12">
                  <c:v>2.02736104159926</c:v>
                </c:pt>
                <c:pt idx="13">
                  <c:v>0.0862779864328331</c:v>
                </c:pt>
                <c:pt idx="14">
                  <c:v>-0.170614813975476</c:v>
                </c:pt>
                <c:pt idx="15">
                  <c:v>-0.0348371936876362</c:v>
                </c:pt>
                <c:pt idx="16">
                  <c:v>-0.0560081277097879</c:v>
                </c:pt>
                <c:pt idx="17">
                  <c:v>-0.731926929862041</c:v>
                </c:pt>
                <c:pt idx="18">
                  <c:v>-0.120769699338695</c:v>
                </c:pt>
                <c:pt idx="19">
                  <c:v>-0.440886866094886</c:v>
                </c:pt>
              </c:numCache>
            </c:numRef>
          </c:val>
        </c:ser>
        <c:ser>
          <c:idx val="1"/>
          <c:order val="1"/>
          <c:tx>
            <c:strRef>
              <c:f>label 1</c:f>
              <c:strCache>
                <c:ptCount val="1"/>
                <c:pt idx="0">
                  <c:v>Mezzogiorno</c:v>
                </c:pt>
              </c:strCache>
            </c:strRef>
          </c:tx>
          <c:spPr>
            <a:solidFill>
              <a:srgbClr val="c0504d"/>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1</c:f>
              <c:numCache>
                <c:formatCode>General</c:formatCode>
                <c:ptCount val="20"/>
                <c:pt idx="0">
                  <c:v>-1.6441559583909</c:v>
                </c:pt>
                <c:pt idx="1">
                  <c:v>0.243912643579051</c:v>
                </c:pt>
                <c:pt idx="2">
                  <c:v>0.51694375961273</c:v>
                </c:pt>
                <c:pt idx="3">
                  <c:v>0.405025602469109</c:v>
                </c:pt>
                <c:pt idx="4">
                  <c:v>0.0613380279144309</c:v>
                </c:pt>
                <c:pt idx="5">
                  <c:v>-0.0213390612576063</c:v>
                </c:pt>
                <c:pt idx="6">
                  <c:v>0.342789069043036</c:v>
                </c:pt>
                <c:pt idx="7">
                  <c:v>0.141524592700875</c:v>
                </c:pt>
                <c:pt idx="8">
                  <c:v>0.12075520405304</c:v>
                </c:pt>
                <c:pt idx="9">
                  <c:v>0.150516518768896</c:v>
                </c:pt>
                <c:pt idx="10">
                  <c:v>-1.4590161966855</c:v>
                </c:pt>
                <c:pt idx="11">
                  <c:v>0.0650580895903374</c:v>
                </c:pt>
                <c:pt idx="12">
                  <c:v>1.48134846446928</c:v>
                </c:pt>
                <c:pt idx="13">
                  <c:v>-0.102467599274888</c:v>
                </c:pt>
                <c:pt idx="14">
                  <c:v>-0.296586892468525</c:v>
                </c:pt>
                <c:pt idx="15">
                  <c:v>-0.298577423683639</c:v>
                </c:pt>
                <c:pt idx="16">
                  <c:v>-0.400251441982618</c:v>
                </c:pt>
                <c:pt idx="17">
                  <c:v>-1.81707576969316</c:v>
                </c:pt>
                <c:pt idx="18">
                  <c:v>-0.62734518777421</c:v>
                </c:pt>
                <c:pt idx="19">
                  <c:v>-1.14566176987627</c:v>
                </c:pt>
              </c:numCache>
            </c:numRef>
          </c:val>
        </c:ser>
        <c:ser>
          <c:idx val="2"/>
          <c:order val="2"/>
          <c:tx>
            <c:strRef>
              <c:f>label 2</c:f>
              <c:strCache>
                <c:ptCount val="1"/>
                <c:pt idx="0">
                  <c:v>Piemonte</c:v>
                </c:pt>
              </c:strCache>
            </c:strRef>
          </c:tx>
          <c:spPr>
            <a:solidFill>
              <a:srgbClr val="9bbb59"/>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2</c:f>
              <c:numCache>
                <c:formatCode>General</c:formatCode>
                <c:ptCount val="20"/>
                <c:pt idx="0">
                  <c:v>-1.78185998143007</c:v>
                </c:pt>
                <c:pt idx="1">
                  <c:v>0.42816855410517</c:v>
                </c:pt>
                <c:pt idx="2">
                  <c:v>0.91888279204619</c:v>
                </c:pt>
                <c:pt idx="3">
                  <c:v>1.40407450210351</c:v>
                </c:pt>
                <c:pt idx="4">
                  <c:v>0.266987085039588</c:v>
                </c:pt>
                <c:pt idx="5">
                  <c:v>0.255543120684763</c:v>
                </c:pt>
                <c:pt idx="6">
                  <c:v>1.1127937975036</c:v>
                </c:pt>
                <c:pt idx="7">
                  <c:v>0.711272620196098</c:v>
                </c:pt>
                <c:pt idx="8">
                  <c:v>0.308150732385329</c:v>
                </c:pt>
                <c:pt idx="9">
                  <c:v>0.249762158053016</c:v>
                </c:pt>
                <c:pt idx="10">
                  <c:v>-2.23613437177147</c:v>
                </c:pt>
                <c:pt idx="11">
                  <c:v>0.37609608636555</c:v>
                </c:pt>
                <c:pt idx="12">
                  <c:v>1.4345051224814</c:v>
                </c:pt>
                <c:pt idx="13">
                  <c:v>-0.277925657196917</c:v>
                </c:pt>
                <c:pt idx="14">
                  <c:v>-0.45702680119436</c:v>
                </c:pt>
                <c:pt idx="15">
                  <c:v>-0.266106843259891</c:v>
                </c:pt>
                <c:pt idx="16">
                  <c:v>-0.379303389439244</c:v>
                </c:pt>
                <c:pt idx="17">
                  <c:v>-1.08092914200964</c:v>
                </c:pt>
                <c:pt idx="18">
                  <c:v>-0.400779473104834</c:v>
                </c:pt>
                <c:pt idx="19">
                  <c:v>-0.841340159866689</c:v>
                </c:pt>
              </c:numCache>
            </c:numRef>
          </c:val>
        </c:ser>
        <c:gapWidth val="150"/>
        <c:overlap val="0"/>
        <c:axId val="35378836"/>
        <c:axId val="48502072"/>
      </c:barChart>
      <c:catAx>
        <c:axId val="35378836"/>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700" spc="-1" strike="noStrike">
                <a:solidFill>
                  <a:srgbClr val="000000"/>
                </a:solidFill>
                <a:latin typeface="Calibri"/>
              </a:defRPr>
            </a:pPr>
          </a:p>
        </c:txPr>
        <c:crossAx val="48502072"/>
        <c:crosses val="autoZero"/>
        <c:auto val="1"/>
        <c:lblAlgn val="ctr"/>
        <c:lblOffset val="100"/>
        <c:noMultiLvlLbl val="0"/>
      </c:catAx>
      <c:valAx>
        <c:axId val="48502072"/>
        <c:scaling>
          <c:orientation val="minMax"/>
        </c:scaling>
        <c:delete val="0"/>
        <c:axPos val="l"/>
        <c:numFmt formatCode="General" sourceLinked="0"/>
        <c:majorTickMark val="out"/>
        <c:minorTickMark val="none"/>
        <c:tickLblPos val="nextTo"/>
        <c:spPr>
          <a:ln w="9360">
            <a:solidFill>
              <a:srgbClr val="878787"/>
            </a:solidFill>
            <a:round/>
          </a:ln>
        </c:spPr>
        <c:txPr>
          <a:bodyPr/>
          <a:lstStyle/>
          <a:p>
            <a:pPr>
              <a:defRPr b="0" sz="700" spc="-1" strike="noStrike">
                <a:solidFill>
                  <a:srgbClr val="000000"/>
                </a:solidFill>
                <a:latin typeface="Calibri"/>
              </a:defRPr>
            </a:pPr>
          </a:p>
        </c:txPr>
        <c:crossAx val="35378836"/>
        <c:crosses val="autoZero"/>
        <c:crossBetween val="between"/>
      </c:valAx>
      <c:spPr>
        <a:solidFill>
          <a:srgbClr val="ffffff"/>
        </a:solidFill>
        <a:ln w="0">
          <a:noFill/>
        </a:ln>
      </c:spPr>
    </c:plotArea>
    <c:legend>
      <c:legendPos val="b"/>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Centro-nord</c:v>
                </c:pt>
              </c:strCache>
            </c:strRef>
          </c:tx>
          <c:spPr>
            <a:solidFill>
              <a:srgbClr val="4f81bd"/>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0</c:f>
              <c:numCache>
                <c:formatCode>General</c:formatCode>
                <c:ptCount val="20"/>
                <c:pt idx="0">
                  <c:v>2.02519535511017</c:v>
                </c:pt>
                <c:pt idx="1">
                  <c:v>0.491511763937183</c:v>
                </c:pt>
                <c:pt idx="2">
                  <c:v>0.372818624584511</c:v>
                </c:pt>
                <c:pt idx="3">
                  <c:v>1.72688134982737</c:v>
                </c:pt>
                <c:pt idx="4">
                  <c:v>0.904255656042821</c:v>
                </c:pt>
                <c:pt idx="5">
                  <c:v>1.85925480524722</c:v>
                </c:pt>
                <c:pt idx="6">
                  <c:v>1.72666172397852</c:v>
                </c:pt>
                <c:pt idx="7">
                  <c:v>-0.739474656243175</c:v>
                </c:pt>
                <c:pt idx="8">
                  <c:v>-5.49525418522047</c:v>
                </c:pt>
                <c:pt idx="9">
                  <c:v>2.42803818709636</c:v>
                </c:pt>
                <c:pt idx="10">
                  <c:v>1.03399148743009</c:v>
                </c:pt>
                <c:pt idx="11">
                  <c:v>-3.22247881702053</c:v>
                </c:pt>
                <c:pt idx="12">
                  <c:v>-1.52313835516502</c:v>
                </c:pt>
                <c:pt idx="13">
                  <c:v>0.275874092361136</c:v>
                </c:pt>
                <c:pt idx="14">
                  <c:v>0.603292822210236</c:v>
                </c:pt>
                <c:pt idx="15">
                  <c:v>1.59548417422364</c:v>
                </c:pt>
                <c:pt idx="16">
                  <c:v>1.91687656946036</c:v>
                </c:pt>
                <c:pt idx="17">
                  <c:v>1.16257870906855</c:v>
                </c:pt>
                <c:pt idx="18">
                  <c:v>0.550253163337928</c:v>
                </c:pt>
                <c:pt idx="19">
                  <c:v>-9.15789615923124</c:v>
                </c:pt>
              </c:numCache>
            </c:numRef>
          </c:val>
        </c:ser>
        <c:ser>
          <c:idx val="1"/>
          <c:order val="1"/>
          <c:tx>
            <c:strRef>
              <c:f>label 1</c:f>
              <c:strCache>
                <c:ptCount val="1"/>
                <c:pt idx="0">
                  <c:v>Piemonte</c:v>
                </c:pt>
              </c:strCache>
            </c:strRef>
          </c:tx>
          <c:spPr>
            <a:solidFill>
              <a:srgbClr val="c0504d"/>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1</c:f>
              <c:numCache>
                <c:formatCode>General</c:formatCode>
                <c:ptCount val="20"/>
                <c:pt idx="0">
                  <c:v>1.64158459121853</c:v>
                </c:pt>
                <c:pt idx="1">
                  <c:v>-0.0075894833570942</c:v>
                </c:pt>
                <c:pt idx="2">
                  <c:v>0.650959212360206</c:v>
                </c:pt>
                <c:pt idx="3">
                  <c:v>1.3144947069039</c:v>
                </c:pt>
                <c:pt idx="4">
                  <c:v>1.09684024486442</c:v>
                </c:pt>
                <c:pt idx="5">
                  <c:v>1.79540962970125</c:v>
                </c:pt>
                <c:pt idx="6">
                  <c:v>0.802172026298024</c:v>
                </c:pt>
                <c:pt idx="7">
                  <c:v>-1.9886621426848</c:v>
                </c:pt>
                <c:pt idx="8">
                  <c:v>-8.40600055406513</c:v>
                </c:pt>
                <c:pt idx="9">
                  <c:v>3.60699694565332</c:v>
                </c:pt>
                <c:pt idx="10">
                  <c:v>1.03732509886578</c:v>
                </c:pt>
                <c:pt idx="11">
                  <c:v>-4.87730573376658</c:v>
                </c:pt>
                <c:pt idx="12">
                  <c:v>-0.0697196420533714</c:v>
                </c:pt>
                <c:pt idx="13">
                  <c:v>-1.11487513367004</c:v>
                </c:pt>
                <c:pt idx="14">
                  <c:v>1.19632732369243</c:v>
                </c:pt>
                <c:pt idx="15">
                  <c:v>1.25363653747334</c:v>
                </c:pt>
                <c:pt idx="16">
                  <c:v>2.9345293515109</c:v>
                </c:pt>
                <c:pt idx="17">
                  <c:v>0.964081563006573</c:v>
                </c:pt>
                <c:pt idx="18">
                  <c:v>-0.455115827950365</c:v>
                </c:pt>
                <c:pt idx="19">
                  <c:v>-9.70494818037857</c:v>
                </c:pt>
              </c:numCache>
            </c:numRef>
          </c:val>
        </c:ser>
        <c:ser>
          <c:idx val="2"/>
          <c:order val="2"/>
          <c:tx>
            <c:strRef>
              <c:f>label 2</c:f>
              <c:strCache>
                <c:ptCount val="1"/>
                <c:pt idx="0">
                  <c:v>Mezzogiorno</c:v>
                </c:pt>
              </c:strCache>
            </c:strRef>
          </c:tx>
          <c:spPr>
            <a:solidFill>
              <a:srgbClr val="9bbb59"/>
            </a:solidFill>
            <a:ln w="0">
              <a:noFill/>
            </a:ln>
          </c:spPr>
          <c:invertIfNegative val="0"/>
          <c:dLbls>
            <c:txPr>
              <a:bodyPr wrap="non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2</c:f>
              <c:numCache>
                <c:formatCode>General</c:formatCode>
                <c:ptCount val="20"/>
                <c:pt idx="0">
                  <c:v>1.7959682645667</c:v>
                </c:pt>
                <c:pt idx="1">
                  <c:v>-0.435439787674568</c:v>
                </c:pt>
                <c:pt idx="2">
                  <c:v>-0.639122647461662</c:v>
                </c:pt>
                <c:pt idx="3">
                  <c:v>0.401399474502355</c:v>
                </c:pt>
                <c:pt idx="4">
                  <c:v>0.554886007403994</c:v>
                </c:pt>
                <c:pt idx="5">
                  <c:v>1.55483749621834</c:v>
                </c:pt>
                <c:pt idx="6">
                  <c:v>0.712058345513995</c:v>
                </c:pt>
                <c:pt idx="7">
                  <c:v>-1.70146074211308</c:v>
                </c:pt>
                <c:pt idx="8">
                  <c:v>-4.56927020255327</c:v>
                </c:pt>
                <c:pt idx="9">
                  <c:v>-0.567427002408579</c:v>
                </c:pt>
                <c:pt idx="10">
                  <c:v>-0.411674591305541</c:v>
                </c:pt>
                <c:pt idx="11">
                  <c:v>-2.15895497562461</c:v>
                </c:pt>
                <c:pt idx="12">
                  <c:v>-2.93756298766741</c:v>
                </c:pt>
                <c:pt idx="13">
                  <c:v>-0.938861853452039</c:v>
                </c:pt>
                <c:pt idx="14">
                  <c:v>1.40924057906182</c:v>
                </c:pt>
                <c:pt idx="15">
                  <c:v>0.160550971936743</c:v>
                </c:pt>
                <c:pt idx="16">
                  <c:v>0.767398719406387</c:v>
                </c:pt>
                <c:pt idx="17">
                  <c:v>0.100928281535005</c:v>
                </c:pt>
                <c:pt idx="18">
                  <c:v>0.304193397075878</c:v>
                </c:pt>
                <c:pt idx="19">
                  <c:v>-8.65932038094837</c:v>
                </c:pt>
              </c:numCache>
            </c:numRef>
          </c:val>
        </c:ser>
        <c:gapWidth val="150"/>
        <c:overlap val="0"/>
        <c:axId val="38940055"/>
        <c:axId val="82678004"/>
      </c:barChart>
      <c:catAx>
        <c:axId val="38940055"/>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700" spc="-1" strike="noStrike">
                <a:solidFill>
                  <a:srgbClr val="000000"/>
                </a:solidFill>
                <a:latin typeface="Calibri"/>
              </a:defRPr>
            </a:pPr>
          </a:p>
        </c:txPr>
        <c:crossAx val="82678004"/>
        <c:crosses val="autoZero"/>
        <c:auto val="1"/>
        <c:lblAlgn val="ctr"/>
        <c:lblOffset val="100"/>
        <c:noMultiLvlLbl val="0"/>
      </c:catAx>
      <c:valAx>
        <c:axId val="82678004"/>
        <c:scaling>
          <c:orientation val="minMax"/>
        </c:scaling>
        <c:delete val="0"/>
        <c:axPos val="l"/>
        <c:numFmt formatCode="General" sourceLinked="0"/>
        <c:majorTickMark val="out"/>
        <c:minorTickMark val="none"/>
        <c:tickLblPos val="nextTo"/>
        <c:spPr>
          <a:ln w="9360">
            <a:solidFill>
              <a:srgbClr val="878787"/>
            </a:solidFill>
            <a:round/>
          </a:ln>
        </c:spPr>
        <c:txPr>
          <a:bodyPr/>
          <a:lstStyle/>
          <a:p>
            <a:pPr>
              <a:defRPr b="0" sz="700" spc="-1" strike="noStrike">
                <a:solidFill>
                  <a:srgbClr val="000000"/>
                </a:solidFill>
                <a:latin typeface="Calibri"/>
              </a:defRPr>
            </a:pPr>
          </a:p>
        </c:txPr>
        <c:crossAx val="38940055"/>
        <c:crosses val="autoZero"/>
        <c:crossBetween val="between"/>
      </c:valAx>
      <c:spPr>
        <a:solidFill>
          <a:srgbClr val="ffffff"/>
        </a:solidFill>
        <a:ln w="0">
          <a:noFill/>
        </a:ln>
      </c:spPr>
    </c:plotArea>
    <c:legend>
      <c:legendPos val="b"/>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Serie1</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82226.6478765317</c:v>
                </c:pt>
                <c:pt idx="1">
                  <c:v>82637.3025176663</c:v>
                </c:pt>
                <c:pt idx="2">
                  <c:v>80483.9395774612</c:v>
                </c:pt>
                <c:pt idx="3">
                  <c:v>81421.7498683668</c:v>
                </c:pt>
                <c:pt idx="4">
                  <c:v>81612.264000125</c:v>
                </c:pt>
                <c:pt idx="5">
                  <c:v>80608.6790811439</c:v>
                </c:pt>
                <c:pt idx="6">
                  <c:v>83897.3682113279</c:v>
                </c:pt>
                <c:pt idx="7">
                  <c:v>86547.31143777</c:v>
                </c:pt>
                <c:pt idx="8">
                  <c:v>86002.8745703406</c:v>
                </c:pt>
                <c:pt idx="9">
                  <c:v>85952.9120161359</c:v>
                </c:pt>
                <c:pt idx="10">
                  <c:v>82392.0215128651</c:v>
                </c:pt>
                <c:pt idx="11">
                  <c:v>82418.9695740466</c:v>
                </c:pt>
                <c:pt idx="12">
                  <c:v>83333.4908168158</c:v>
                </c:pt>
                <c:pt idx="13">
                  <c:v>81217.2435783533</c:v>
                </c:pt>
                <c:pt idx="14">
                  <c:v>80268.9204698056</c:v>
                </c:pt>
                <c:pt idx="15">
                  <c:v>80357</c:v>
                </c:pt>
                <c:pt idx="16">
                  <c:v>80941.6079751317</c:v>
                </c:pt>
                <c:pt idx="17">
                  <c:v>80463.1450437934</c:v>
                </c:pt>
                <c:pt idx="18">
                  <c:v>82820.1188886864</c:v>
                </c:pt>
                <c:pt idx="19">
                  <c:v>83007.5096269601</c:v>
                </c:pt>
                <c:pt idx="20">
                  <c:v>75837.6910944998</c:v>
                </c:pt>
              </c:numCache>
            </c:numRef>
          </c:val>
          <c:smooth val="0"/>
        </c:ser>
        <c:hiLowLines>
          <c:spPr>
            <a:ln w="0">
              <a:noFill/>
            </a:ln>
          </c:spPr>
        </c:hiLowLines>
        <c:marker val="0"/>
        <c:axId val="40877791"/>
        <c:axId val="86570120"/>
      </c:lineChart>
      <c:catAx>
        <c:axId val="408777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86570120"/>
        <c:crosses val="autoZero"/>
        <c:auto val="1"/>
        <c:lblAlgn val="ctr"/>
        <c:lblOffset val="100"/>
        <c:noMultiLvlLbl val="0"/>
      </c:catAx>
      <c:valAx>
        <c:axId val="86570120"/>
        <c:scaling>
          <c:orientation val="minMax"/>
        </c:scaling>
        <c:delete val="0"/>
        <c:axPos val="l"/>
        <c:numFmt formatCode="General"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40877791"/>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Piemonte</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19168.2527124735</c:v>
                </c:pt>
                <c:pt idx="1">
                  <c:v>19613.4669257987</c:v>
                </c:pt>
                <c:pt idx="2">
                  <c:v>19020.9375051606</c:v>
                </c:pt>
                <c:pt idx="3">
                  <c:v>19067.3654296954</c:v>
                </c:pt>
                <c:pt idx="4">
                  <c:v>18847.3492508208</c:v>
                </c:pt>
                <c:pt idx="5">
                  <c:v>18566.0147874464</c:v>
                </c:pt>
                <c:pt idx="6">
                  <c:v>19274.2208539662</c:v>
                </c:pt>
                <c:pt idx="7">
                  <c:v>19664.185586095</c:v>
                </c:pt>
                <c:pt idx="8">
                  <c:v>19402.4809913571</c:v>
                </c:pt>
                <c:pt idx="9">
                  <c:v>19331.6387177757</c:v>
                </c:pt>
                <c:pt idx="10">
                  <c:v>18484.592590161</c:v>
                </c:pt>
                <c:pt idx="11">
                  <c:v>18913.5712362444</c:v>
                </c:pt>
                <c:pt idx="12">
                  <c:v>19051.7832931149</c:v>
                </c:pt>
                <c:pt idx="13">
                  <c:v>18305.373284597</c:v>
                </c:pt>
                <c:pt idx="14">
                  <c:v>18142.0542790364</c:v>
                </c:pt>
                <c:pt idx="15">
                  <c:v>18245.3477848422</c:v>
                </c:pt>
                <c:pt idx="16">
                  <c:v>18427.1209721085</c:v>
                </c:pt>
                <c:pt idx="17">
                  <c:v>18387.9404514978</c:v>
                </c:pt>
                <c:pt idx="18">
                  <c:v>19133.3892152911</c:v>
                </c:pt>
                <c:pt idx="19">
                  <c:v>19253.8463331723</c:v>
                </c:pt>
                <c:pt idx="20">
                  <c:v>17740.0390167592</c:v>
                </c:pt>
              </c:numCache>
            </c:numRef>
          </c:val>
          <c:smooth val="0"/>
        </c:ser>
        <c:ser>
          <c:idx val="1"/>
          <c:order val="1"/>
          <c:tx>
            <c:strRef>
              <c:f>label 1</c:f>
              <c:strCache>
                <c:ptCount val="1"/>
                <c:pt idx="0">
                  <c:v>Centro Nord</c:v>
                </c:pt>
              </c:strCache>
            </c:strRef>
          </c:tx>
          <c:spPr>
            <a:solidFill>
              <a:srgbClr val="c0504d"/>
            </a:solidFill>
            <a:ln cap="rnd" w="28440">
              <a:solidFill>
                <a:srgbClr val="c0504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1</c:f>
              <c:numCache>
                <c:formatCode>General</c:formatCode>
                <c:ptCount val="21"/>
                <c:pt idx="0">
                  <c:v>20085.2259327668</c:v>
                </c:pt>
                <c:pt idx="1">
                  <c:v>21282.4543438349</c:v>
                </c:pt>
                <c:pt idx="2">
                  <c:v>20593.8558200642</c:v>
                </c:pt>
                <c:pt idx="3">
                  <c:v>21100.1129976029</c:v>
                </c:pt>
                <c:pt idx="4">
                  <c:v>20487.5697427716</c:v>
                </c:pt>
                <c:pt idx="5">
                  <c:v>20006.3951289656</c:v>
                </c:pt>
                <c:pt idx="6">
                  <c:v>21239.022182827</c:v>
                </c:pt>
                <c:pt idx="7">
                  <c:v>21930.9189997229</c:v>
                </c:pt>
                <c:pt idx="8">
                  <c:v>21333.7795770688</c:v>
                </c:pt>
                <c:pt idx="9">
                  <c:v>20819.5151467541</c:v>
                </c:pt>
                <c:pt idx="10">
                  <c:v>20974.6404726621</c:v>
                </c:pt>
                <c:pt idx="11">
                  <c:v>20833.2179983889</c:v>
                </c:pt>
                <c:pt idx="12">
                  <c:v>20865.9671703151</c:v>
                </c:pt>
                <c:pt idx="13">
                  <c:v>20733.256882844</c:v>
                </c:pt>
                <c:pt idx="14">
                  <c:v>19878.1042713935</c:v>
                </c:pt>
                <c:pt idx="15">
                  <c:v>20185.558467737</c:v>
                </c:pt>
                <c:pt idx="16">
                  <c:v>19880.4309000399</c:v>
                </c:pt>
                <c:pt idx="17">
                  <c:v>20273.98540666</c:v>
                </c:pt>
                <c:pt idx="18">
                  <c:v>20821.9228807674</c:v>
                </c:pt>
                <c:pt idx="19">
                  <c:v>20905.3076251023</c:v>
                </c:pt>
                <c:pt idx="20">
                  <c:v>19500.727072834</c:v>
                </c:pt>
              </c:numCache>
            </c:numRef>
          </c:val>
          <c:smooth val="0"/>
        </c:ser>
        <c:ser>
          <c:idx val="2"/>
          <c:order val="2"/>
          <c:tx>
            <c:strRef>
              <c:f>label 2</c:f>
              <c:strCache>
                <c:ptCount val="1"/>
                <c:pt idx="0">
                  <c:v>Mezzogiorno</c:v>
                </c:pt>
              </c:strCache>
            </c:strRef>
          </c:tx>
          <c:spPr>
            <a:solidFill>
              <a:srgbClr val="9bbb59"/>
            </a:solidFill>
            <a:ln cap="rnd" w="28440">
              <a:solidFill>
                <a:srgbClr val="9bbb59"/>
              </a:solidFill>
              <a:prstDash val="dash"/>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2</c:f>
              <c:numCache>
                <c:formatCode>General</c:formatCode>
                <c:ptCount val="21"/>
                <c:pt idx="0">
                  <c:v>10258.378483836</c:v>
                </c:pt>
                <c:pt idx="1">
                  <c:v>11059.901078803</c:v>
                </c:pt>
                <c:pt idx="2">
                  <c:v>10841.0219309664</c:v>
                </c:pt>
                <c:pt idx="3">
                  <c:v>11311.6523392641</c:v>
                </c:pt>
                <c:pt idx="4">
                  <c:v>11756.7700783292</c:v>
                </c:pt>
                <c:pt idx="5">
                  <c:v>11435.0895499533</c:v>
                </c:pt>
                <c:pt idx="6">
                  <c:v>12169.0126634613</c:v>
                </c:pt>
                <c:pt idx="7">
                  <c:v>12218.2697923372</c:v>
                </c:pt>
                <c:pt idx="8">
                  <c:v>12130.218333111</c:v>
                </c:pt>
                <c:pt idx="9">
                  <c:v>11827.7948971623</c:v>
                </c:pt>
                <c:pt idx="10">
                  <c:v>11494.2598433154</c:v>
                </c:pt>
                <c:pt idx="11">
                  <c:v>11612.4174909665</c:v>
                </c:pt>
                <c:pt idx="12">
                  <c:v>11997.3513950606</c:v>
                </c:pt>
                <c:pt idx="13">
                  <c:v>11622.8041777502</c:v>
                </c:pt>
                <c:pt idx="14">
                  <c:v>11216.8703792698</c:v>
                </c:pt>
                <c:pt idx="15">
                  <c:v>11647.1246936047</c:v>
                </c:pt>
                <c:pt idx="16">
                  <c:v>11344.3464479351</c:v>
                </c:pt>
                <c:pt idx="17">
                  <c:v>11326.2221866528</c:v>
                </c:pt>
                <c:pt idx="18">
                  <c:v>11677.4280032829</c:v>
                </c:pt>
                <c:pt idx="19">
                  <c:v>11764.1998288897</c:v>
                </c:pt>
                <c:pt idx="20">
                  <c:v>11188.602758273</c:v>
                </c:pt>
              </c:numCache>
            </c:numRef>
          </c:val>
          <c:smooth val="0"/>
        </c:ser>
        <c:hiLowLines>
          <c:spPr>
            <a:ln w="0">
              <a:noFill/>
            </a:ln>
          </c:spPr>
        </c:hiLowLines>
        <c:marker val="0"/>
        <c:axId val="52613177"/>
        <c:axId val="9676939"/>
      </c:lineChart>
      <c:catAx>
        <c:axId val="5261317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9676939"/>
        <c:crosses val="autoZero"/>
        <c:auto val="1"/>
        <c:lblAlgn val="ctr"/>
        <c:lblOffset val="100"/>
        <c:noMultiLvlLbl val="0"/>
      </c:catAx>
      <c:valAx>
        <c:axId val="9676939"/>
        <c:scaling>
          <c:orientation val="minMax"/>
          <c:min val="9000"/>
        </c:scaling>
        <c:delete val="0"/>
        <c:axPos val="l"/>
        <c:numFmt formatCode="General"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52613177"/>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Piemonte </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0.485962059418817</c:v>
                </c:pt>
                <c:pt idx="1">
                  <c:v>0.463981138939378</c:v>
                </c:pt>
                <c:pt idx="2">
                  <c:v>0.444667145059389</c:v>
                </c:pt>
                <c:pt idx="3">
                  <c:v>0.449319059880316</c:v>
                </c:pt>
                <c:pt idx="4">
                  <c:v>0.448009335519492</c:v>
                </c:pt>
                <c:pt idx="5">
                  <c:v>0.431344547661643</c:v>
                </c:pt>
                <c:pt idx="6">
                  <c:v>0.440063229482898</c:v>
                </c:pt>
                <c:pt idx="7">
                  <c:v>0.45742174871621</c:v>
                </c:pt>
                <c:pt idx="8">
                  <c:v>0.462304811675506</c:v>
                </c:pt>
                <c:pt idx="9">
                  <c:v>0.49575512694005</c:v>
                </c:pt>
                <c:pt idx="10">
                  <c:v>0.439793872083369</c:v>
                </c:pt>
                <c:pt idx="11">
                  <c:v>0.461290820653456</c:v>
                </c:pt>
                <c:pt idx="12">
                  <c:v>0.49335062215153</c:v>
                </c:pt>
                <c:pt idx="13">
                  <c:v>0.486024314640469</c:v>
                </c:pt>
                <c:pt idx="14">
                  <c:v>0.494425713661789</c:v>
                </c:pt>
                <c:pt idx="15">
                  <c:v>0.49170472063287</c:v>
                </c:pt>
                <c:pt idx="16">
                  <c:v>0.489504254017115</c:v>
                </c:pt>
                <c:pt idx="17">
                  <c:v>0.477779455900938</c:v>
                </c:pt>
                <c:pt idx="18">
                  <c:v>0.484826443280807</c:v>
                </c:pt>
                <c:pt idx="19">
                  <c:v>0.483696259220487</c:v>
                </c:pt>
                <c:pt idx="20">
                  <c:v>0.503134507075328</c:v>
                </c:pt>
              </c:numCache>
            </c:numRef>
          </c:val>
          <c:smooth val="0"/>
        </c:ser>
        <c:ser>
          <c:idx val="1"/>
          <c:order val="1"/>
          <c:tx>
            <c:strRef>
              <c:f>label 1</c:f>
              <c:strCache>
                <c:ptCount val="1"/>
                <c:pt idx="0">
                  <c:v>Centro-Nord</c:v>
                </c:pt>
              </c:strCache>
            </c:strRef>
          </c:tx>
          <c:spPr>
            <a:solidFill>
              <a:srgbClr val="c0504d"/>
            </a:solidFill>
            <a:ln cap="rnd" w="28440">
              <a:solidFill>
                <a:srgbClr val="c0504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1</c:f>
              <c:numCache>
                <c:formatCode>General</c:formatCode>
                <c:ptCount val="21"/>
                <c:pt idx="0">
                  <c:v>0.434950938223299</c:v>
                </c:pt>
                <c:pt idx="1">
                  <c:v>0.43843695618422</c:v>
                </c:pt>
                <c:pt idx="2">
                  <c:v>0.420579636566408</c:v>
                </c:pt>
                <c:pt idx="3">
                  <c:v>0.439943228021791</c:v>
                </c:pt>
                <c:pt idx="4">
                  <c:v>0.42666135636424</c:v>
                </c:pt>
                <c:pt idx="5">
                  <c:v>0.408165812559914</c:v>
                </c:pt>
                <c:pt idx="6">
                  <c:v>0.435443235493398</c:v>
                </c:pt>
                <c:pt idx="7">
                  <c:v>0.453347944060258</c:v>
                </c:pt>
                <c:pt idx="8">
                  <c:v>0.443964779255966</c:v>
                </c:pt>
                <c:pt idx="9">
                  <c:v>0.458978405747377</c:v>
                </c:pt>
                <c:pt idx="10">
                  <c:v>0.45742952878964</c:v>
                </c:pt>
                <c:pt idx="11">
                  <c:v>0.445962497730004</c:v>
                </c:pt>
                <c:pt idx="12">
                  <c:v>0.464113827582198</c:v>
                </c:pt>
                <c:pt idx="13">
                  <c:v>0.484370391145781</c:v>
                </c:pt>
                <c:pt idx="14">
                  <c:v>0.465171137475197</c:v>
                </c:pt>
                <c:pt idx="15">
                  <c:v>0.472119650678174</c:v>
                </c:pt>
                <c:pt idx="16">
                  <c:v>0.461966190361849</c:v>
                </c:pt>
                <c:pt idx="17">
                  <c:v>0.461679063150531</c:v>
                </c:pt>
                <c:pt idx="18">
                  <c:v>0.465530865813488</c:v>
                </c:pt>
                <c:pt idx="19">
                  <c:v>0.460476352922853</c:v>
                </c:pt>
                <c:pt idx="20">
                  <c:v>0.475714002531083</c:v>
                </c:pt>
              </c:numCache>
            </c:numRef>
          </c:val>
          <c:smooth val="0"/>
        </c:ser>
        <c:ser>
          <c:idx val="2"/>
          <c:order val="2"/>
          <c:tx>
            <c:strRef>
              <c:f>label 2</c:f>
              <c:strCache>
                <c:ptCount val="1"/>
                <c:pt idx="0">
                  <c:v>Mezzogiorno</c:v>
                </c:pt>
              </c:strCache>
            </c:strRef>
          </c:tx>
          <c:spPr>
            <a:solidFill>
              <a:srgbClr val="9bbb59"/>
            </a:solidFill>
            <a:ln cap="rnd" w="28440">
              <a:solidFill>
                <a:srgbClr val="9bbb59"/>
              </a:solidFill>
              <a:prstDash val="dash"/>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2</c:f>
              <c:numCache>
                <c:formatCode>General</c:formatCode>
                <c:ptCount val="21"/>
                <c:pt idx="0">
                  <c:v>0.374282512047431</c:v>
                </c:pt>
                <c:pt idx="1">
                  <c:v>0.380596649842275</c:v>
                </c:pt>
                <c:pt idx="2">
                  <c:v>0.376265357644875</c:v>
                </c:pt>
                <c:pt idx="3">
                  <c:v>0.404154191765454</c:v>
                </c:pt>
                <c:pt idx="4">
                  <c:v>0.418543906423632</c:v>
                </c:pt>
                <c:pt idx="5">
                  <c:v>0.408335204514543</c:v>
                </c:pt>
                <c:pt idx="6">
                  <c:v>0.426960080313138</c:v>
                </c:pt>
                <c:pt idx="7">
                  <c:v>0.428114557670702</c:v>
                </c:pt>
                <c:pt idx="8">
                  <c:v>0.439312060143563</c:v>
                </c:pt>
                <c:pt idx="9">
                  <c:v>0.445591953314692</c:v>
                </c:pt>
                <c:pt idx="10">
                  <c:v>0.425434587292431</c:v>
                </c:pt>
                <c:pt idx="11">
                  <c:v>0.445739265815171</c:v>
                </c:pt>
                <c:pt idx="12">
                  <c:v>0.477699099434222</c:v>
                </c:pt>
                <c:pt idx="13">
                  <c:v>0.47715087416661</c:v>
                </c:pt>
                <c:pt idx="14">
                  <c:v>0.47302413981419</c:v>
                </c:pt>
                <c:pt idx="15">
                  <c:v>0.475195713952351</c:v>
                </c:pt>
                <c:pt idx="16">
                  <c:v>0.475350555942381</c:v>
                </c:pt>
                <c:pt idx="17">
                  <c:v>0.47206454660174</c:v>
                </c:pt>
                <c:pt idx="18">
                  <c:v>0.478218100305105</c:v>
                </c:pt>
                <c:pt idx="19">
                  <c:v>0.474068742569158</c:v>
                </c:pt>
                <c:pt idx="20">
                  <c:v>0.488922670023896</c:v>
                </c:pt>
              </c:numCache>
            </c:numRef>
          </c:val>
          <c:smooth val="0"/>
        </c:ser>
        <c:hiLowLines>
          <c:spPr>
            <a:ln w="0">
              <a:noFill/>
            </a:ln>
          </c:spPr>
        </c:hiLowLines>
        <c:marker val="0"/>
        <c:axId val="6568401"/>
        <c:axId val="37626510"/>
      </c:lineChart>
      <c:catAx>
        <c:axId val="656840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37626510"/>
        <c:crosses val="autoZero"/>
        <c:auto val="1"/>
        <c:lblAlgn val="ctr"/>
        <c:lblOffset val="100"/>
        <c:noMultiLvlLbl val="0"/>
      </c:catAx>
      <c:valAx>
        <c:axId val="37626510"/>
        <c:scaling>
          <c:orientation val="minMax"/>
          <c:min val="0.36"/>
        </c:scaling>
        <c:delete val="0"/>
        <c:axPos val="l"/>
        <c:numFmt formatCode="0%"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6568401"/>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Piemonte</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5062.49913574642</c:v>
                </c:pt>
                <c:pt idx="1">
                  <c:v>5271.97579823841</c:v>
                </c:pt>
                <c:pt idx="2">
                  <c:v>4965.25032597701</c:v>
                </c:pt>
                <c:pt idx="3">
                  <c:v>4910.63597512803</c:v>
                </c:pt>
                <c:pt idx="4">
                  <c:v>4811.16413115602</c:v>
                </c:pt>
                <c:pt idx="5">
                  <c:v>4746.10869272615</c:v>
                </c:pt>
                <c:pt idx="6">
                  <c:v>5109.06938327114</c:v>
                </c:pt>
                <c:pt idx="7">
                  <c:v>5274.64821643895</c:v>
                </c:pt>
                <c:pt idx="8">
                  <c:v>5173.58637173204</c:v>
                </c:pt>
                <c:pt idx="9">
                  <c:v>5065.7731915228</c:v>
                </c:pt>
                <c:pt idx="10">
                  <c:v>4506.90327878451</c:v>
                </c:pt>
                <c:pt idx="11">
                  <c:v>4872.50526344196</c:v>
                </c:pt>
                <c:pt idx="12">
                  <c:v>5083.87802873163</c:v>
                </c:pt>
                <c:pt idx="13">
                  <c:v>4996.91446190006</c:v>
                </c:pt>
                <c:pt idx="14">
                  <c:v>5037.97581741861</c:v>
                </c:pt>
                <c:pt idx="15">
                  <c:v>5397.74572083394</c:v>
                </c:pt>
                <c:pt idx="16">
                  <c:v>5375.95398759267</c:v>
                </c:pt>
                <c:pt idx="17">
                  <c:v>5311.85722871745</c:v>
                </c:pt>
                <c:pt idx="18">
                  <c:v>5558.54887006531</c:v>
                </c:pt>
                <c:pt idx="19">
                  <c:v>5453.9348230261</c:v>
                </c:pt>
                <c:pt idx="20">
                  <c:v>5455.35543403725</c:v>
                </c:pt>
              </c:numCache>
            </c:numRef>
          </c:val>
          <c:smooth val="0"/>
        </c:ser>
        <c:ser>
          <c:idx val="1"/>
          <c:order val="1"/>
          <c:tx>
            <c:strRef>
              <c:f>label 1</c:f>
              <c:strCache>
                <c:ptCount val="1"/>
                <c:pt idx="0">
                  <c:v>Centro-Nord</c:v>
                </c:pt>
              </c:strCache>
            </c:strRef>
          </c:tx>
          <c:spPr>
            <a:solidFill>
              <a:srgbClr val="c0504d"/>
            </a:solidFill>
            <a:ln cap="rnd" w="28440">
              <a:solidFill>
                <a:srgbClr val="c0504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1</c:f>
              <c:numCache>
                <c:formatCode>General</c:formatCode>
                <c:ptCount val="21"/>
                <c:pt idx="0">
                  <c:v>5317.90687240638</c:v>
                </c:pt>
                <c:pt idx="1">
                  <c:v>5538.33531944103</c:v>
                </c:pt>
                <c:pt idx="2">
                  <c:v>5274.54069222128</c:v>
                </c:pt>
                <c:pt idx="3">
                  <c:v>5264.3250192361</c:v>
                </c:pt>
                <c:pt idx="4">
                  <c:v>5168.19908762427</c:v>
                </c:pt>
                <c:pt idx="5">
                  <c:v>5002.18005756078</c:v>
                </c:pt>
                <c:pt idx="6">
                  <c:v>5495.6771796486</c:v>
                </c:pt>
                <c:pt idx="7">
                  <c:v>5788.93660750749</c:v>
                </c:pt>
                <c:pt idx="8">
                  <c:v>5622.80182391662</c:v>
                </c:pt>
                <c:pt idx="9">
                  <c:v>5457.37393776184</c:v>
                </c:pt>
                <c:pt idx="10">
                  <c:v>5310.51697254768</c:v>
                </c:pt>
                <c:pt idx="11">
                  <c:v>5284.00017361615</c:v>
                </c:pt>
                <c:pt idx="12">
                  <c:v>5488.04600119692</c:v>
                </c:pt>
                <c:pt idx="13">
                  <c:v>5432.42426334602</c:v>
                </c:pt>
                <c:pt idx="14">
                  <c:v>5233.24274572348</c:v>
                </c:pt>
                <c:pt idx="15">
                  <c:v>5572.31874206618</c:v>
                </c:pt>
                <c:pt idx="16">
                  <c:v>5556.59379524859</c:v>
                </c:pt>
                <c:pt idx="17">
                  <c:v>5511.1057854279</c:v>
                </c:pt>
                <c:pt idx="18">
                  <c:v>5737.95646545861</c:v>
                </c:pt>
                <c:pt idx="19">
                  <c:v>5621.00285529975</c:v>
                </c:pt>
                <c:pt idx="20">
                  <c:v>5603.08706438484</c:v>
                </c:pt>
              </c:numCache>
            </c:numRef>
          </c:val>
          <c:smooth val="0"/>
        </c:ser>
        <c:ser>
          <c:idx val="2"/>
          <c:order val="2"/>
          <c:tx>
            <c:strRef>
              <c:f>label 2</c:f>
              <c:strCache>
                <c:ptCount val="1"/>
                <c:pt idx="0">
                  <c:v>Mezzogiorno</c:v>
                </c:pt>
              </c:strCache>
            </c:strRef>
          </c:tx>
          <c:spPr>
            <a:solidFill>
              <a:srgbClr val="9bbb59"/>
            </a:solidFill>
            <a:ln cap="rnd" w="28440">
              <a:solidFill>
                <a:srgbClr val="9bbb59"/>
              </a:solidFill>
              <a:prstDash val="dash"/>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2</c:f>
              <c:numCache>
                <c:formatCode>General</c:formatCode>
                <c:ptCount val="21"/>
                <c:pt idx="0">
                  <c:v>2051.62468036335</c:v>
                </c:pt>
                <c:pt idx="1">
                  <c:v>2251.38784953324</c:v>
                </c:pt>
                <c:pt idx="2">
                  <c:v>2202.72566797952</c:v>
                </c:pt>
                <c:pt idx="3">
                  <c:v>2200.95920610309</c:v>
                </c:pt>
                <c:pt idx="4">
                  <c:v>2232.50111012271</c:v>
                </c:pt>
                <c:pt idx="5">
                  <c:v>2225.26411541258</c:v>
                </c:pt>
                <c:pt idx="6">
                  <c:v>2392.39807183511</c:v>
                </c:pt>
                <c:pt idx="7">
                  <c:v>2454.17995540523</c:v>
                </c:pt>
                <c:pt idx="8">
                  <c:v>2508.13020114344</c:v>
                </c:pt>
                <c:pt idx="9">
                  <c:v>2567.41340468504</c:v>
                </c:pt>
                <c:pt idx="10">
                  <c:v>2324.95779518654</c:v>
                </c:pt>
                <c:pt idx="11">
                  <c:v>2477.236334437</c:v>
                </c:pt>
                <c:pt idx="12">
                  <c:v>2738.96821898881</c:v>
                </c:pt>
                <c:pt idx="13">
                  <c:v>2688.17203954918</c:v>
                </c:pt>
                <c:pt idx="14">
                  <c:v>2445.62103689665</c:v>
                </c:pt>
                <c:pt idx="15">
                  <c:v>2628.48693360943</c:v>
                </c:pt>
                <c:pt idx="16">
                  <c:v>2633.49117633229</c:v>
                </c:pt>
                <c:pt idx="17">
                  <c:v>2614.6670084938</c:v>
                </c:pt>
                <c:pt idx="18">
                  <c:v>2742.01757717034</c:v>
                </c:pt>
                <c:pt idx="19">
                  <c:v>2718.69274616829</c:v>
                </c:pt>
                <c:pt idx="20">
                  <c:v>2716.3674580941</c:v>
                </c:pt>
              </c:numCache>
            </c:numRef>
          </c:val>
          <c:smooth val="0"/>
        </c:ser>
        <c:hiLowLines>
          <c:spPr>
            <a:ln w="0">
              <a:noFill/>
            </a:ln>
          </c:spPr>
        </c:hiLowLines>
        <c:marker val="0"/>
        <c:axId val="43108900"/>
        <c:axId val="96155820"/>
      </c:lineChart>
      <c:catAx>
        <c:axId val="4310890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96155820"/>
        <c:crosses val="autoZero"/>
        <c:auto val="1"/>
        <c:lblAlgn val="ctr"/>
        <c:lblOffset val="100"/>
        <c:noMultiLvlLbl val="0"/>
      </c:catAx>
      <c:valAx>
        <c:axId val="96155820"/>
        <c:scaling>
          <c:orientation val="minMax"/>
        </c:scaling>
        <c:delete val="0"/>
        <c:axPos val="l"/>
        <c:numFmt formatCode="\ * #,##0&quot;    &quot;;\-* #,##0&quot;    &quot;;\ * \-#&quot;    &quot;;\ @\ "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43108900"/>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Piemonte</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5378.34353783578</c:v>
                </c:pt>
                <c:pt idx="1">
                  <c:v>5242.8488601266</c:v>
                </c:pt>
                <c:pt idx="2">
                  <c:v>5047.48192317835</c:v>
                </c:pt>
                <c:pt idx="3">
                  <c:v>5215.57728111988</c:v>
                </c:pt>
                <c:pt idx="4">
                  <c:v>5351.75358766614</c:v>
                </c:pt>
                <c:pt idx="5">
                  <c:v>5064.67541077816</c:v>
                </c:pt>
                <c:pt idx="6">
                  <c:v>5258.58140755608</c:v>
                </c:pt>
                <c:pt idx="7">
                  <c:v>5197.10586129617</c:v>
                </c:pt>
                <c:pt idx="8">
                  <c:v>4917.41969281899</c:v>
                </c:pt>
                <c:pt idx="9">
                  <c:v>4973.68571075232</c:v>
                </c:pt>
                <c:pt idx="10">
                  <c:v>4335.44630149961</c:v>
                </c:pt>
                <c:pt idx="11">
                  <c:v>4961.3194524466</c:v>
                </c:pt>
                <c:pt idx="12">
                  <c:v>4726.61721912751</c:v>
                </c:pt>
                <c:pt idx="13">
                  <c:v>4463.00198773213</c:v>
                </c:pt>
                <c:pt idx="14">
                  <c:v>4546.52722266068</c:v>
                </c:pt>
                <c:pt idx="15">
                  <c:v>4269.74333404628</c:v>
                </c:pt>
                <c:pt idx="16">
                  <c:v>4408.09341898333</c:v>
                </c:pt>
                <c:pt idx="17">
                  <c:v>4562.25425660674</c:v>
                </c:pt>
                <c:pt idx="18">
                  <c:v>4706.4446140507</c:v>
                </c:pt>
                <c:pt idx="19">
                  <c:v>4708.53096881419</c:v>
                </c:pt>
                <c:pt idx="20">
                  <c:v>4146.41757636447</c:v>
                </c:pt>
              </c:numCache>
            </c:numRef>
          </c:val>
          <c:smooth val="0"/>
        </c:ser>
        <c:ser>
          <c:idx val="1"/>
          <c:order val="1"/>
          <c:tx>
            <c:strRef>
              <c:f>label 1</c:f>
              <c:strCache>
                <c:ptCount val="1"/>
                <c:pt idx="0">
                  <c:v>Centro-Nord</c:v>
                </c:pt>
              </c:strCache>
            </c:strRef>
          </c:tx>
          <c:spPr>
            <a:solidFill>
              <a:srgbClr val="c0504d"/>
            </a:solidFill>
            <a:ln cap="rnd" w="28440">
              <a:solidFill>
                <a:srgbClr val="c0504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1</c:f>
              <c:numCache>
                <c:formatCode>General</c:formatCode>
                <c:ptCount val="21"/>
                <c:pt idx="0">
                  <c:v>5303.09886727367</c:v>
                </c:pt>
                <c:pt idx="1">
                  <c:v>5555.18799772992</c:v>
                </c:pt>
                <c:pt idx="2">
                  <c:v>5093.45592473472</c:v>
                </c:pt>
                <c:pt idx="3">
                  <c:v>5589.53353088468</c:v>
                </c:pt>
                <c:pt idx="4">
                  <c:v>5310.19568876704</c:v>
                </c:pt>
                <c:pt idx="5">
                  <c:v>4812.01124781308</c:v>
                </c:pt>
                <c:pt idx="6">
                  <c:v>5377.56051220663</c:v>
                </c:pt>
                <c:pt idx="7">
                  <c:v>5593.92594647383</c:v>
                </c:pt>
                <c:pt idx="8">
                  <c:v>4978.76361369272</c:v>
                </c:pt>
                <c:pt idx="9">
                  <c:v>4805.66430401964</c:v>
                </c:pt>
                <c:pt idx="10">
                  <c:v>5168.29518556613</c:v>
                </c:pt>
                <c:pt idx="11">
                  <c:v>5226.59125481926</c:v>
                </c:pt>
                <c:pt idx="12">
                  <c:v>4895.35724618295</c:v>
                </c:pt>
                <c:pt idx="13">
                  <c:v>5220.78800550231</c:v>
                </c:pt>
                <c:pt idx="14">
                  <c:v>4899.52864217644</c:v>
                </c:pt>
                <c:pt idx="15">
                  <c:v>4863.37067590208</c:v>
                </c:pt>
                <c:pt idx="16">
                  <c:v>4731.23281127282</c:v>
                </c:pt>
                <c:pt idx="17">
                  <c:v>5039.88755495922</c:v>
                </c:pt>
                <c:pt idx="18">
                  <c:v>5103.55288319699</c:v>
                </c:pt>
                <c:pt idx="19">
                  <c:v>5106.13649286328</c:v>
                </c:pt>
                <c:pt idx="20">
                  <c:v>4468.99995791989</c:v>
                </c:pt>
              </c:numCache>
            </c:numRef>
          </c:val>
          <c:smooth val="0"/>
        </c:ser>
        <c:ser>
          <c:idx val="2"/>
          <c:order val="2"/>
          <c:tx>
            <c:strRef>
              <c:f>label 2</c:f>
              <c:strCache>
                <c:ptCount val="1"/>
                <c:pt idx="0">
                  <c:v>Mezzogiorno</c:v>
                </c:pt>
              </c:strCache>
            </c:strRef>
          </c:tx>
          <c:spPr>
            <a:solidFill>
              <a:srgbClr val="9bbb59"/>
            </a:solidFill>
            <a:ln cap="rnd" w="28440">
              <a:solidFill>
                <a:srgbClr val="9bbb59"/>
              </a:solidFill>
              <a:prstDash val="dash"/>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2</c:f>
              <c:numCache>
                <c:formatCode>General</c:formatCode>
                <c:ptCount val="21"/>
                <c:pt idx="0">
                  <c:v>3242.53885746722</c:v>
                </c:pt>
                <c:pt idx="1">
                  <c:v>3301.08223762037</c:v>
                </c:pt>
                <c:pt idx="2">
                  <c:v>3196.04967563826</c:v>
                </c:pt>
                <c:pt idx="3">
                  <c:v>3343.20536228986</c:v>
                </c:pt>
                <c:pt idx="4">
                  <c:v>3588.18668160882</c:v>
                </c:pt>
                <c:pt idx="5">
                  <c:v>3373.00009805129</c:v>
                </c:pt>
                <c:pt idx="6">
                  <c:v>3653.86130102684</c:v>
                </c:pt>
                <c:pt idx="7">
                  <c:v>3562.18525172742</c:v>
                </c:pt>
                <c:pt idx="8">
                  <c:v>3504.56778635115</c:v>
                </c:pt>
                <c:pt idx="9">
                  <c:v>3248.5210625831</c:v>
                </c:pt>
                <c:pt idx="10">
                  <c:v>3077.34789893399</c:v>
                </c:pt>
                <c:pt idx="11">
                  <c:v>3295.9921315337</c:v>
                </c:pt>
                <c:pt idx="12">
                  <c:v>3405.15361244156</c:v>
                </c:pt>
                <c:pt idx="13">
                  <c:v>3075.38903787681</c:v>
                </c:pt>
                <c:pt idx="14">
                  <c:v>3138.15165665276</c:v>
                </c:pt>
                <c:pt idx="15">
                  <c:v>3149.28103546629</c:v>
                </c:pt>
                <c:pt idx="16">
                  <c:v>3200.32595178552</c:v>
                </c:pt>
                <c:pt idx="17">
                  <c:v>3249.72196252122</c:v>
                </c:pt>
                <c:pt idx="18">
                  <c:v>3343.09683187316</c:v>
                </c:pt>
                <c:pt idx="19">
                  <c:v>3362.2422744886</c:v>
                </c:pt>
                <c:pt idx="20">
                  <c:v>3041.21740027588</c:v>
                </c:pt>
              </c:numCache>
            </c:numRef>
          </c:val>
          <c:smooth val="0"/>
        </c:ser>
        <c:hiLowLines>
          <c:spPr>
            <a:ln w="0">
              <a:noFill/>
            </a:ln>
          </c:spPr>
        </c:hiLowLines>
        <c:marker val="0"/>
        <c:axId val="85338306"/>
        <c:axId val="50664528"/>
      </c:lineChart>
      <c:catAx>
        <c:axId val="8533830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50664528"/>
        <c:crosses val="autoZero"/>
        <c:auto val="1"/>
        <c:lblAlgn val="ctr"/>
        <c:lblOffset val="100"/>
        <c:noMultiLvlLbl val="0"/>
      </c:catAx>
      <c:valAx>
        <c:axId val="50664528"/>
        <c:scaling>
          <c:orientation val="minMax"/>
        </c:scaling>
        <c:delete val="0"/>
        <c:axPos val="l"/>
        <c:numFmt formatCode="\ * #,##0&quot;    &quot;;\-* #,##0&quot;    &quot;;\ * \-#&quot;    &quot;;\ @\ "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85338306"/>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Piemonte</c:v>
                </c:pt>
              </c:strCache>
            </c:strRef>
          </c:tx>
          <c:spPr>
            <a:solidFill>
              <a:srgbClr val="4f81bd"/>
            </a:solidFill>
            <a:ln cap="rnd" w="28440">
              <a:solidFill>
                <a:srgbClr val="4f81b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0</c:f>
              <c:numCache>
                <c:formatCode>General</c:formatCode>
                <c:ptCount val="21"/>
                <c:pt idx="0">
                  <c:v>729.944619156482</c:v>
                </c:pt>
                <c:pt idx="1">
                  <c:v>265.208436491784</c:v>
                </c:pt>
                <c:pt idx="2">
                  <c:v>146.419570556334</c:v>
                </c:pt>
                <c:pt idx="3">
                  <c:v>92.4495563874536</c:v>
                </c:pt>
                <c:pt idx="4">
                  <c:v>92.1490373514964</c:v>
                </c:pt>
                <c:pt idx="5">
                  <c:v>126.623577847564</c:v>
                </c:pt>
                <c:pt idx="6">
                  <c:v>125.160678823473</c:v>
                </c:pt>
                <c:pt idx="7">
                  <c:v>196.50798795142</c:v>
                </c:pt>
                <c:pt idx="8">
                  <c:v>170.124091067616</c:v>
                </c:pt>
                <c:pt idx="9">
                  <c:v>141.857999098128</c:v>
                </c:pt>
                <c:pt idx="10">
                  <c:v>137.261234255972</c:v>
                </c:pt>
                <c:pt idx="11">
                  <c:v>191.588331836583</c:v>
                </c:pt>
                <c:pt idx="12">
                  <c:v>314.96604444596</c:v>
                </c:pt>
                <c:pt idx="13">
                  <c:v>385.015331587472</c:v>
                </c:pt>
                <c:pt idx="14">
                  <c:v>413.839434415293</c:v>
                </c:pt>
                <c:pt idx="15">
                  <c:v>368.96213335949</c:v>
                </c:pt>
                <c:pt idx="16">
                  <c:v>358.591778613679</c:v>
                </c:pt>
                <c:pt idx="17">
                  <c:v>323.630983767558</c:v>
                </c:pt>
                <c:pt idx="18">
                  <c:v>327.594231758979</c:v>
                </c:pt>
                <c:pt idx="19">
                  <c:v>315.852876792223</c:v>
                </c:pt>
                <c:pt idx="20">
                  <c:v>316.042678243605</c:v>
                </c:pt>
              </c:numCache>
            </c:numRef>
          </c:val>
          <c:smooth val="0"/>
        </c:ser>
        <c:ser>
          <c:idx val="1"/>
          <c:order val="1"/>
          <c:tx>
            <c:strRef>
              <c:f>label 1</c:f>
              <c:strCache>
                <c:ptCount val="1"/>
                <c:pt idx="0">
                  <c:v>Centro-Nord</c:v>
                </c:pt>
              </c:strCache>
            </c:strRef>
          </c:tx>
          <c:spPr>
            <a:solidFill>
              <a:srgbClr val="c0504d"/>
            </a:solidFill>
            <a:ln cap="rnd" w="28440">
              <a:solidFill>
                <a:srgbClr val="c0504d"/>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1</c:f>
              <c:numCache>
                <c:formatCode>General</c:formatCode>
                <c:ptCount val="21"/>
                <c:pt idx="0">
                  <c:v>193.582319526225</c:v>
                </c:pt>
                <c:pt idx="1">
                  <c:v>129.616922721961</c:v>
                </c:pt>
                <c:pt idx="2">
                  <c:v>156.334132787794</c:v>
                </c:pt>
                <c:pt idx="3">
                  <c:v>120.998711739206</c:v>
                </c:pt>
                <c:pt idx="4">
                  <c:v>132.609693395323</c:v>
                </c:pt>
                <c:pt idx="5">
                  <c:v>156.118313407741</c:v>
                </c:pt>
                <c:pt idx="6">
                  <c:v>151.053902592373</c:v>
                </c:pt>
                <c:pt idx="7">
                  <c:v>166.898176320362</c:v>
                </c:pt>
                <c:pt idx="8">
                  <c:v>153.024232918275</c:v>
                </c:pt>
                <c:pt idx="9">
                  <c:v>140.799624467189</c:v>
                </c:pt>
                <c:pt idx="10">
                  <c:v>166.323535369816</c:v>
                </c:pt>
                <c:pt idx="11">
                  <c:v>229.960172137887</c:v>
                </c:pt>
                <c:pt idx="12">
                  <c:v>350.263656264172</c:v>
                </c:pt>
                <c:pt idx="13">
                  <c:v>371.702029421914</c:v>
                </c:pt>
                <c:pt idx="14">
                  <c:v>411.313202808989</c:v>
                </c:pt>
                <c:pt idx="15">
                  <c:v>353.369126773208</c:v>
                </c:pt>
                <c:pt idx="16">
                  <c:v>338.692961264198</c:v>
                </c:pt>
                <c:pt idx="17">
                  <c:v>299.392661988189</c:v>
                </c:pt>
                <c:pt idx="18">
                  <c:v>305.857336071746</c:v>
                </c:pt>
                <c:pt idx="19">
                  <c:v>300.009138358547</c:v>
                </c:pt>
                <c:pt idx="20">
                  <c:v>295.140478293769</c:v>
                </c:pt>
              </c:numCache>
            </c:numRef>
          </c:val>
          <c:smooth val="0"/>
        </c:ser>
        <c:ser>
          <c:idx val="2"/>
          <c:order val="2"/>
          <c:tx>
            <c:strRef>
              <c:f>label 2</c:f>
              <c:strCache>
                <c:ptCount val="1"/>
                <c:pt idx="0">
                  <c:v>Mezzogiorno</c:v>
                </c:pt>
              </c:strCache>
            </c:strRef>
          </c:tx>
          <c:spPr>
            <a:solidFill>
              <a:srgbClr val="9bbb59"/>
            </a:solidFill>
            <a:ln cap="rnd" w="28440">
              <a:solidFill>
                <a:srgbClr val="9bbb59"/>
              </a:solidFill>
              <a:prstDash val="dash"/>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2</c:f>
              <c:numCache>
                <c:formatCode>General</c:formatCode>
                <c:ptCount val="21"/>
                <c:pt idx="0">
                  <c:v>85.7075584485995</c:v>
                </c:pt>
                <c:pt idx="1">
                  <c:v>90.4561414602204</c:v>
                </c:pt>
                <c:pt idx="2">
                  <c:v>117.080114417884</c:v>
                </c:pt>
                <c:pt idx="3">
                  <c:v>107.282138595073</c:v>
                </c:pt>
                <c:pt idx="4">
                  <c:v>115.736911764842</c:v>
                </c:pt>
                <c:pt idx="5">
                  <c:v>109.958705848898</c:v>
                </c:pt>
                <c:pt idx="6">
                  <c:v>109.935982275894</c:v>
                </c:pt>
                <c:pt idx="7">
                  <c:v>110.224055154896</c:v>
                </c:pt>
                <c:pt idx="8">
                  <c:v>114.408498228387</c:v>
                </c:pt>
                <c:pt idx="9">
                  <c:v>102.186626966666</c:v>
                </c:pt>
                <c:pt idx="10">
                  <c:v>124.922648982862</c:v>
                </c:pt>
                <c:pt idx="11">
                  <c:v>191.010785510284</c:v>
                </c:pt>
                <c:pt idx="12">
                  <c:v>278.262210686854</c:v>
                </c:pt>
                <c:pt idx="13">
                  <c:v>346.37770553526</c:v>
                </c:pt>
                <c:pt idx="14">
                  <c:v>355.420144370121</c:v>
                </c:pt>
                <c:pt idx="15">
                  <c:v>301.729535382574</c:v>
                </c:pt>
                <c:pt idx="16">
                  <c:v>246.208163281621</c:v>
                </c:pt>
                <c:pt idx="17">
                  <c:v>222.155356751074</c:v>
                </c:pt>
                <c:pt idx="18">
                  <c:v>223.300369208106</c:v>
                </c:pt>
                <c:pt idx="19">
                  <c:v>225.468852900959</c:v>
                </c:pt>
                <c:pt idx="20">
                  <c:v>217.679509046784</c:v>
                </c:pt>
              </c:numCache>
            </c:numRef>
          </c:val>
          <c:smooth val="0"/>
        </c:ser>
        <c:hiLowLines>
          <c:spPr>
            <a:ln w="0">
              <a:noFill/>
            </a:ln>
          </c:spPr>
        </c:hiLowLines>
        <c:marker val="0"/>
        <c:axId val="31931529"/>
        <c:axId val="34809361"/>
      </c:lineChart>
      <c:catAx>
        <c:axId val="3193152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34809361"/>
        <c:crosses val="autoZero"/>
        <c:auto val="1"/>
        <c:lblAlgn val="ctr"/>
        <c:lblOffset val="100"/>
        <c:noMultiLvlLbl val="0"/>
      </c:catAx>
      <c:valAx>
        <c:axId val="34809361"/>
        <c:scaling>
          <c:orientation val="minMax"/>
        </c:scaling>
        <c:delete val="0"/>
        <c:axPos val="l"/>
        <c:numFmt formatCode="\ * #,##0&quot;    &quot;;\-* #,##0&quot;    &quot;;\ * \-#&quot;    &quot;;\ @\ " sourceLinked="0"/>
        <c:majorTickMark val="none"/>
        <c:minorTickMark val="none"/>
        <c:tickLblPos val="nextTo"/>
        <c:spPr>
          <a:ln w="9360">
            <a:noFill/>
          </a:ln>
        </c:spPr>
        <c:txPr>
          <a:bodyPr/>
          <a:lstStyle/>
          <a:p>
            <a:pPr>
              <a:defRPr b="0" sz="700" spc="-1" strike="noStrike">
                <a:solidFill>
                  <a:srgbClr val="595959"/>
                </a:solidFill>
                <a:latin typeface="Calibri"/>
              </a:defRPr>
            </a:pPr>
          </a:p>
        </c:txPr>
        <c:crossAx val="31931529"/>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LibreOffice/7.0.4.2$Windows_X86_64 LibreOffice_project/dcf040e67528d9187c66b2379df5ea4407429775</Application>
  <AppVersion>15.0000</AppVersion>
  <Pages>7</Pages>
  <Words>1001</Words>
  <Characters>5560</Characters>
  <CharactersWithSpaces>6535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2021-01-27T11:57:00Z</dcterms:created>
  <dc:creator>Settore Sistemi Informativi</dc:creator>
  <dc:description/>
  <dc:language>it-IT</dc:language>
  <cp:lastModifiedBy/>
  <dcterms:modified xsi:type="dcterms:W3CDTF">2023-04-24T16:43:06Z</dcterms:modified>
  <cp:revision>28</cp:revision>
  <dc:subject/>
  <dc:title>SETTORE</dc:title>
</cp:coreProperties>
</file>

<file path=docProps/custom.xml><?xml version="1.0" encoding="utf-8"?>
<Properties xmlns="http://schemas.openxmlformats.org/officeDocument/2006/custom-properties" xmlns:vt="http://schemas.openxmlformats.org/officeDocument/2006/docPropsVTypes"/>
</file>