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000000"/>
        </w:rPr>
      </w:pPr>
      <w:r>
        <w:rPr>
          <w:rFonts w:eastAsia="Times New Roman" w:cs="Times New Roman" w:ascii="Times New Roman" w:hAnsi="Times New Roman"/>
          <w:b/>
          <w:color w:val="000000"/>
          <w:sz w:val="28"/>
          <w:szCs w:val="28"/>
        </w:rPr>
        <w:t>ORGANISMO REGIONALE PER LE ATTIVITA’ DI CONTROLLO COLLABORATIVO (ORECOL</w:t>
      </w:r>
      <w:r>
        <w:rPr>
          <w:rFonts w:eastAsia="Times New Roman" w:cs="Times New Roman" w:ascii="Times New Roman" w:hAnsi="Times New Roman"/>
          <w:b/>
          <w:color w:val="000000"/>
          <w:sz w:val="32"/>
          <w:szCs w:val="32"/>
        </w:rPr>
        <w:t>)</w:t>
      </w:r>
    </w:p>
    <w:p>
      <w:pPr>
        <w:pStyle w:val="Normal"/>
        <w:jc w:val="center"/>
        <w:rPr>
          <w:color w:val="000000"/>
        </w:rPr>
      </w:pPr>
      <w:r>
        <w:rPr/>
      </w:r>
    </w:p>
    <w:p>
      <w:pPr>
        <w:pStyle w:val="Normal"/>
        <w:jc w:val="center"/>
        <w:rPr>
          <w:color w:val="000000"/>
        </w:rPr>
      </w:pPr>
      <w:r>
        <w:rPr/>
      </w:r>
    </w:p>
    <w:p>
      <w:pPr>
        <w:pStyle w:val="Normal"/>
        <w:jc w:val="center"/>
        <w:rPr>
          <w:color w:val="000000"/>
        </w:rPr>
      </w:pPr>
      <w:r>
        <w:rPr>
          <w:rFonts w:eastAsia="Times New Roman" w:cs="Times New Roman" w:ascii="Times New Roman" w:hAnsi="Times New Roman"/>
          <w:b/>
          <w:color w:val="000000"/>
          <w:sz w:val="32"/>
          <w:szCs w:val="32"/>
        </w:rPr>
        <w:t xml:space="preserve">CODICE DI CONDOTTA DEI COMPONENTI </w:t>
      </w:r>
    </w:p>
    <w:p>
      <w:pPr>
        <w:pStyle w:val="Normal"/>
        <w:jc w:val="center"/>
        <w:rPr>
          <w:rFonts w:ascii="Times New Roman" w:hAnsi="Times New Roman" w:eastAsia="Times New Roman" w:cs="Times New Roman"/>
          <w:color w:val="000000"/>
          <w:sz w:val="32"/>
          <w:szCs w:val="32"/>
        </w:rPr>
      </w:pPr>
      <w:r>
        <w:rPr/>
      </w:r>
    </w:p>
    <w:p>
      <w:pPr>
        <w:pStyle w:val="Normal"/>
        <w:jc w:val="center"/>
        <w:rPr>
          <w:color w:val="000000"/>
        </w:rPr>
      </w:pPr>
      <w:r>
        <w:rPr>
          <w:rFonts w:eastAsia="Times New Roman" w:cs="Times New Roman" w:ascii="Times New Roman" w:hAnsi="Times New Roman"/>
          <w:b/>
          <w:color w:val="000000"/>
        </w:rPr>
        <w:t>APPROVATO NELLA RIUNIONE DEL 2 marzo 2023</w:t>
      </w:r>
    </w:p>
    <w:p>
      <w:pPr>
        <w:pStyle w:val="Normal"/>
        <w:ind w:firstLine="709"/>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rPr>
          <w:color w:val="000000"/>
        </w:rPr>
      </w:pPr>
      <w:r>
        <w:rPr>
          <w:rFonts w:eastAsia="Times New Roman" w:cs="Times New Roman" w:ascii="Times New Roman" w:hAnsi="Times New Roman"/>
          <w:b/>
          <w:color w:val="000000"/>
        </w:rPr>
        <w:t xml:space="preserve"> </w:t>
      </w:r>
    </w:p>
    <w:p>
      <w:pPr>
        <w:pStyle w:val="Normal"/>
        <w:jc w:val="center"/>
        <w:rPr>
          <w:color w:val="000000"/>
        </w:rPr>
      </w:pPr>
      <w:r>
        <w:rPr>
          <w:rFonts w:eastAsia="Times New Roman" w:cs="Times New Roman" w:ascii="Times New Roman" w:hAnsi="Times New Roman"/>
          <w:b/>
          <w:color w:val="000000"/>
        </w:rPr>
        <w:t>PREMESSA:</w:t>
      </w:r>
    </w:p>
    <w:p>
      <w:pPr>
        <w:pStyle w:val="Normal"/>
        <w:numPr>
          <w:ilvl w:val="0"/>
          <w:numId w:val="4"/>
        </w:numPr>
        <w:ind w:left="284" w:hanging="311"/>
        <w:jc w:val="both"/>
        <w:rPr>
          <w:color w:val="000000"/>
        </w:rPr>
      </w:pPr>
      <w:r>
        <w:rPr>
          <w:rFonts w:eastAsia="Times New Roman" w:cs="Times New Roman" w:ascii="Times New Roman" w:hAnsi="Times New Roman"/>
          <w:color w:val="000000"/>
        </w:rPr>
        <w:t xml:space="preserve">L’art. 2, comma 3 del D.P.R. 16 aprile 2013, n. 62 </w:t>
      </w:r>
      <w:r>
        <w:rPr>
          <w:rFonts w:eastAsia="Times New Roman" w:cs="Times New Roman" w:ascii="Times New Roman" w:hAnsi="Times New Roman"/>
          <w:i/>
          <w:color w:val="000000"/>
        </w:rPr>
        <w:t xml:space="preserve">“Regolamento recante codice di comportamento dei dipendenti pubblici, a norma dell’art. 54 del decreto legislativo 30 marzo 2001, n.165” </w:t>
      </w:r>
      <w:r>
        <w:rPr>
          <w:rFonts w:eastAsia="Times New Roman" w:cs="Times New Roman" w:ascii="Times New Roman" w:hAnsi="Times New Roman"/>
          <w:color w:val="000000"/>
        </w:rPr>
        <w:t>prevede che le pubbliche amministrazioni “</w:t>
      </w:r>
      <w:r>
        <w:rPr>
          <w:rFonts w:eastAsia="Times New Roman" w:cs="Times New Roman" w:ascii="Times New Roman" w:hAnsi="Times New Roman"/>
          <w:i/>
          <w:iCs/>
          <w:color w:val="000000"/>
        </w:rPr>
        <w:t>estendono per quanto compatibili gli obblighi di condotta previsti dal presente codice e tutti collaboratori o consulenti con qualsiasi tipologia contratto</w:t>
      </w:r>
      <w:r>
        <w:rPr>
          <w:rFonts w:eastAsia="Times New Roman" w:cs="Times New Roman" w:ascii="Times New Roman" w:hAnsi="Times New Roman"/>
          <w:i/>
          <w:color w:val="000000"/>
        </w:rPr>
        <w:t xml:space="preserve"> o incarico e a qualsiasi titolo, ai titolari di organi e di incarichi negli uffici di diretta collaborazione delle autorità̀ politiche...”</w:t>
      </w:r>
      <w:r>
        <w:rPr>
          <w:rFonts w:eastAsia="Times New Roman" w:cs="Times New Roman" w:ascii="Times New Roman" w:hAnsi="Times New Roman"/>
          <w:color w:val="000000"/>
        </w:rPr>
        <w:t xml:space="preserve">; </w:t>
      </w:r>
    </w:p>
    <w:p>
      <w:pPr>
        <w:pStyle w:val="Normal"/>
        <w:numPr>
          <w:ilvl w:val="0"/>
          <w:numId w:val="4"/>
        </w:numPr>
        <w:ind w:left="284" w:hanging="311"/>
        <w:jc w:val="both"/>
        <w:rPr>
          <w:color w:val="000000"/>
        </w:rPr>
      </w:pPr>
      <w:r>
        <w:rPr>
          <w:rFonts w:eastAsia="Times New Roman" w:cs="Times New Roman" w:ascii="Times New Roman" w:hAnsi="Times New Roman"/>
          <w:color w:val="000000"/>
        </w:rPr>
        <w:t>Il Codice di comportamento dei dipendenti della Giunta regionale, approvato con Deliberazione della Giunta Regionale n. 1-1717 del 13 luglio 2015 ha dettato ulteriori regole di condotte integrative di quelle previste dal richiamato D.P.R. n. 62/2013, disponendone l’applicazione a tutti i dipendenti a tempo indeterminato e a tempo determinato del ruolo della Giunta Regionale, ai dipendenti in comando o in distacco presso il ruolo della Giunta Regionale, al personale in servizio presso gli uffici di comunicazione, ai dirigenti ed ai direttori, nonché ai consulenti, ai collaboratori esterni, ai prestatori d’opera, ai professionisti ed ai fornitori che collaborano con la Regione Piemonte, per quanto compatibile;</w:t>
      </w:r>
    </w:p>
    <w:p>
      <w:pPr>
        <w:pStyle w:val="Normal"/>
        <w:numPr>
          <w:ilvl w:val="0"/>
          <w:numId w:val="4"/>
        </w:numPr>
        <w:ind w:left="284" w:hanging="311"/>
        <w:jc w:val="both"/>
        <w:rPr>
          <w:color w:val="000000"/>
        </w:rPr>
      </w:pPr>
      <w:r>
        <w:rPr>
          <w:rFonts w:eastAsia="Times New Roman" w:cs="Times New Roman" w:ascii="Times New Roman" w:hAnsi="Times New Roman"/>
          <w:color w:val="000000"/>
        </w:rPr>
        <w:t xml:space="preserve">Appare opportuno fissare per i Componenti dell’Organismo regionale per </w:t>
      </w:r>
      <w:r>
        <w:rPr>
          <w:rFonts w:eastAsia="Times New Roman" w:cs="Times New Roman" w:ascii="Times New Roman" w:hAnsi="Times New Roman"/>
          <w:color w:val="000000"/>
          <w:kern w:val="0"/>
          <w:sz w:val="24"/>
          <w:szCs w:val="24"/>
          <w:lang w:val="it-IT" w:eastAsia="it-IT" w:bidi="ar-SA"/>
        </w:rPr>
        <w:t>il controllo</w:t>
      </w:r>
      <w:r>
        <w:rPr>
          <w:rFonts w:eastAsia="Times New Roman" w:cs="Times New Roman" w:ascii="Times New Roman" w:hAnsi="Times New Roman"/>
          <w:color w:val="000000"/>
        </w:rPr>
        <w:t xml:space="preserve"> collaborativo (ORECOL), istituito con l.r. n. 27 del 8 novembre 2021, doveri di comportamento ispirati a più̀ stringenti regole di correttezza, lealtà̀, integrità̀, imparzialità̀, al fine di garantirne l’assoluta indipendenza, autonomia e il prestigio dell’Organismo stesso; </w:t>
      </w:r>
    </w:p>
    <w:p>
      <w:pPr>
        <w:pStyle w:val="Normal"/>
        <w:numPr>
          <w:ilvl w:val="0"/>
          <w:numId w:val="4"/>
        </w:numPr>
        <w:ind w:left="284" w:hanging="311"/>
        <w:jc w:val="both"/>
        <w:rPr>
          <w:color w:val="000000"/>
        </w:rPr>
      </w:pPr>
      <w:r>
        <w:rPr>
          <w:rFonts w:eastAsia="Times New Roman" w:cs="Times New Roman" w:ascii="Times New Roman" w:hAnsi="Times New Roman"/>
          <w:color w:val="000000"/>
        </w:rPr>
        <w:t xml:space="preserve">I doveri di comportamento, pure in assenza di una responsabilità̀ disciplinare, devono essere puntualmente rispettati da tutti Componenti esterni dell’Organismo; </w:t>
      </w:r>
    </w:p>
    <w:p>
      <w:pPr>
        <w:pStyle w:val="Normal"/>
        <w:numPr>
          <w:ilvl w:val="0"/>
          <w:numId w:val="4"/>
        </w:numPr>
        <w:ind w:left="284" w:hanging="311"/>
        <w:jc w:val="both"/>
        <w:rPr>
          <w:color w:val="000000"/>
        </w:rPr>
      </w:pPr>
      <w:r>
        <w:rPr>
          <w:rFonts w:eastAsia="Times New Roman" w:cs="Times New Roman" w:ascii="Times New Roman" w:hAnsi="Times New Roman"/>
          <w:color w:val="000000"/>
        </w:rPr>
        <w:t>L’indipendenza e l’imparzialità̀ dei Componenti sono assicurate anche dal regime delle incompatibilità̀ e delle inconferibilità degli incarichi, previsto dall’art. 2 della legge regionale n° 27/2021;</w:t>
      </w:r>
    </w:p>
    <w:p>
      <w:pPr>
        <w:pStyle w:val="Normal"/>
        <w:numPr>
          <w:ilvl w:val="0"/>
          <w:numId w:val="4"/>
        </w:numPr>
        <w:ind w:left="284" w:hanging="311"/>
        <w:jc w:val="both"/>
        <w:rPr>
          <w:color w:val="000000"/>
        </w:rPr>
      </w:pPr>
      <w:r>
        <w:rPr>
          <w:rFonts w:eastAsia="Times New Roman" w:cs="Times New Roman" w:ascii="Times New Roman" w:hAnsi="Times New Roman"/>
          <w:color w:val="000000"/>
        </w:rPr>
        <w:t>I Componenti dell’Organismo regionale per la vigilanza collaborativa (ORECOL), al fine di fedelmente adempiere in posizione di indipendenza e autonomia al mandato conferito, si impegnano ad osservare lealmente tutte le disposizioni contenute nel presente codice di condotta</w:t>
      </w:r>
    </w:p>
    <w:p>
      <w:pPr>
        <w:pStyle w:val="Normal"/>
        <w:ind w:left="1729"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left="1729"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jc w:val="center"/>
        <w:rPr>
          <w:color w:val="000000"/>
        </w:rPr>
      </w:pPr>
      <w:r>
        <w:rPr>
          <w:rFonts w:eastAsia="Times New Roman" w:cs="Times New Roman" w:ascii="Times New Roman" w:hAnsi="Times New Roman"/>
          <w:b/>
          <w:color w:val="000000"/>
        </w:rPr>
        <w:t>IL CODICE DI CONDOTTA</w:t>
      </w:r>
    </w:p>
    <w:p>
      <w:pPr>
        <w:pStyle w:val="Normal"/>
        <w:jc w:val="center"/>
        <w:rPr>
          <w:color w:val="000000"/>
        </w:rPr>
      </w:pPr>
      <w:r>
        <w:rPr/>
      </w:r>
    </w:p>
    <w:p>
      <w:pPr>
        <w:pStyle w:val="Normal"/>
        <w:widowControl/>
        <w:suppressAutoHyphens w:val="true"/>
        <w:bidi w:val="0"/>
        <w:spacing w:before="0" w:after="0"/>
        <w:ind w:left="0" w:right="0" w:hanging="0"/>
        <w:jc w:val="center"/>
        <w:rPr>
          <w:color w:val="000000"/>
        </w:rPr>
      </w:pPr>
      <w:r>
        <w:rPr>
          <w:rFonts w:eastAsia="Times New Roman" w:cs="Times New Roman" w:ascii="Times New Roman" w:hAnsi="Times New Roman"/>
          <w:b/>
          <w:color w:val="000000"/>
        </w:rPr>
        <w:t xml:space="preserve">TITOLO </w:t>
      </w:r>
      <w:r>
        <w:rPr>
          <w:rFonts w:eastAsia="Times New Roman" w:cs="Times New Roman" w:ascii="Times New Roman" w:hAnsi="Times New Roman"/>
          <w:b/>
          <w:color w:val="000000"/>
        </w:rPr>
        <w:t>I</w:t>
      </w:r>
    </w:p>
    <w:p>
      <w:pPr>
        <w:pStyle w:val="Normal"/>
        <w:widowControl/>
        <w:suppressAutoHyphens w:val="true"/>
        <w:bidi w:val="0"/>
        <w:spacing w:before="0" w:after="0"/>
        <w:ind w:left="0" w:right="0" w:hanging="0"/>
        <w:jc w:val="center"/>
        <w:rPr>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b/>
          <w:color w:val="000000"/>
        </w:rPr>
        <w:t>DISPOSIZIONI GENERALI</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rPr>
          <w:color w:val="000000"/>
        </w:rPr>
      </w:pPr>
      <w:r>
        <w:rPr>
          <w:rFonts w:eastAsia="Times New Roman" w:cs="Times New Roman" w:ascii="Times New Roman" w:hAnsi="Times New Roman"/>
          <w:b/>
          <w:color w:val="000000"/>
        </w:rPr>
        <w:t>Art. 1 - Definizioni</w:t>
      </w:r>
    </w:p>
    <w:p>
      <w:pPr>
        <w:pStyle w:val="Normal"/>
        <w:ind w:firstLine="709"/>
        <w:rPr>
          <w:color w:val="000000"/>
        </w:rPr>
      </w:pPr>
      <w:r>
        <w:rPr>
          <w:rFonts w:eastAsia="Times New Roman" w:cs="Times New Roman" w:ascii="Times New Roman" w:hAnsi="Times New Roman"/>
          <w:color w:val="000000"/>
        </w:rPr>
        <w:t>Nel presente testo:</w:t>
        <w:br/>
        <w:t>A) l’espressione “Codice” indica il “Codice di condotta dei Componenti di Orecol”;</w:t>
        <w:br/>
        <w:t xml:space="preserve">B) l’espressione “Organismo” indica l’Organismo regionale </w:t>
      </w:r>
      <w:r>
        <w:rPr>
          <w:rFonts w:eastAsia="Times New Roman" w:cs="Times New Roman" w:ascii="Times New Roman" w:hAnsi="Times New Roman"/>
          <w:color w:val="000000"/>
          <w:kern w:val="0"/>
          <w:sz w:val="24"/>
          <w:szCs w:val="24"/>
          <w:lang w:val="it-IT" w:eastAsia="it-IT" w:bidi="ar-SA"/>
        </w:rPr>
        <w:t>per il controllo collaborativo</w:t>
      </w:r>
      <w:r>
        <w:rPr>
          <w:rFonts w:eastAsia="Times New Roman" w:cs="Times New Roman" w:ascii="Times New Roman" w:hAnsi="Times New Roman"/>
          <w:color w:val="000000"/>
        </w:rPr>
        <w:t xml:space="preserve"> (Orecol);</w:t>
        <w:br/>
        <w:t>C) l'espressione “Presidente” indica il Presidente dell’Organismo;</w:t>
        <w:br/>
        <w:t xml:space="preserve">D) l'espressione “Componenti” indica i Membri </w:t>
      </w:r>
      <w:r>
        <w:rPr>
          <w:rFonts w:eastAsia="Times New Roman" w:cs="Times New Roman" w:ascii="Times New Roman" w:hAnsi="Times New Roman"/>
          <w:color w:val="000000"/>
          <w:kern w:val="0"/>
          <w:sz w:val="24"/>
          <w:szCs w:val="24"/>
          <w:lang w:val="it-IT" w:eastAsia="it-IT" w:bidi="ar-SA"/>
        </w:rPr>
        <w:t>interni</w:t>
      </w:r>
      <w:r>
        <w:rPr>
          <w:rFonts w:eastAsia="Times New Roman" w:cs="Times New Roman" w:ascii="Times New Roman" w:hAnsi="Times New Roman"/>
          <w:color w:val="000000"/>
        </w:rPr>
        <w:t xml:space="preserve"> dell’Organismo, nominati dal Consiglio o dalla Giunta regionale, compreso il Presidente;</w:t>
      </w:r>
    </w:p>
    <w:p>
      <w:pPr>
        <w:pStyle w:val="Normal"/>
        <w:rPr>
          <w:color w:val="000000"/>
        </w:rPr>
      </w:pPr>
      <w:r>
        <w:rPr>
          <w:rFonts w:eastAsia="Times New Roman" w:cs="Times New Roman" w:ascii="Times New Roman" w:hAnsi="Times New Roman"/>
          <w:color w:val="000000"/>
        </w:rPr>
        <w:t>E) l’espressione “Segreteria” indica le risorse individuate a tale fine dalla Regione.</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2 - Finalità̀ e ambito di applicazione </w:t>
      </w:r>
    </w:p>
    <w:p>
      <w:pPr>
        <w:pStyle w:val="Normal"/>
        <w:numPr>
          <w:ilvl w:val="0"/>
          <w:numId w:val="7"/>
        </w:numPr>
        <w:ind w:left="0" w:firstLine="709"/>
        <w:jc w:val="both"/>
        <w:rPr>
          <w:color w:val="000000"/>
        </w:rPr>
      </w:pPr>
      <w:r>
        <w:rPr>
          <w:rFonts w:eastAsia="Times New Roman" w:cs="Times New Roman" w:ascii="Times New Roman" w:hAnsi="Times New Roman"/>
          <w:color w:val="000000"/>
        </w:rPr>
        <w:t xml:space="preserve">Il Codice si applica ai Componenti dell’Organismo nominati dal Consiglio e dalla Giunta regionale. </w:t>
      </w:r>
    </w:p>
    <w:p>
      <w:pPr>
        <w:pStyle w:val="Normal"/>
        <w:numPr>
          <w:ilvl w:val="0"/>
          <w:numId w:val="7"/>
        </w:numPr>
        <w:ind w:left="0" w:firstLine="709"/>
        <w:jc w:val="both"/>
        <w:rPr>
          <w:color w:val="000000"/>
        </w:rPr>
      </w:pPr>
      <w:r>
        <w:rPr>
          <w:rFonts w:eastAsia="Times New Roman" w:cs="Times New Roman" w:ascii="Times New Roman" w:hAnsi="Times New Roman"/>
          <w:color w:val="000000"/>
        </w:rPr>
        <w:t xml:space="preserve">Ai Componenti dell’Organismo individuati dall’art. 2, comma 1, della l.r. n. 27/2021 si applicano le norme di legge, regolamentari e comportamentali previste per i Dirigenti della Giunta regionale. </w:t>
      </w:r>
    </w:p>
    <w:p>
      <w:pPr>
        <w:pStyle w:val="Normal"/>
        <w:numPr>
          <w:ilvl w:val="0"/>
          <w:numId w:val="7"/>
        </w:numPr>
        <w:ind w:left="0" w:firstLine="709"/>
        <w:jc w:val="both"/>
        <w:rPr>
          <w:color w:val="000000"/>
        </w:rPr>
      </w:pPr>
      <w:r>
        <w:rPr>
          <w:rFonts w:eastAsia="Times New Roman" w:cs="Times New Roman" w:ascii="Times New Roman" w:hAnsi="Times New Roman"/>
          <w:color w:val="000000"/>
        </w:rPr>
        <w:t xml:space="preserve">I doveri di comportamento sono ispirati ai più̀ generali doveri di integrità̀, lealtà̀, imparzialità̀ e riservatezza cui deve uniformarsi la loro azione, conformemente alla posizione di autonomia e indipendenza riconosciuta all’ Organismo, ai compiti di indirizzo, verifica, vigilanza, valutazione e supporto ad esso affidati e alla trasparenza delle attività̀ svolte, nonché́ al dovere, di cui all’articolo 54 della Costituzione, di adempiere le funzioni affidate con disciplina e onore. </w:t>
      </w:r>
    </w:p>
    <w:p>
      <w:pPr>
        <w:pStyle w:val="Normal"/>
        <w:numPr>
          <w:ilvl w:val="0"/>
          <w:numId w:val="7"/>
        </w:numPr>
        <w:ind w:left="0" w:firstLine="709"/>
        <w:jc w:val="both"/>
        <w:rPr>
          <w:color w:val="000000"/>
        </w:rPr>
      </w:pPr>
      <w:r>
        <w:rPr>
          <w:rFonts w:eastAsia="Times New Roman" w:cs="Times New Roman" w:ascii="Times New Roman" w:hAnsi="Times New Roman"/>
          <w:color w:val="000000"/>
        </w:rPr>
        <w:t xml:space="preserve">I doveri di comportamento previsti dal codice di condotta sono applicabili ai Componenti a far data dall’approvazione di tale Codice. </w:t>
      </w:r>
    </w:p>
    <w:p>
      <w:pPr>
        <w:pStyle w:val="Normal"/>
        <w:ind w:left="709"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left="709"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left="709"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suppressAutoHyphens w:val="true"/>
        <w:bidi w:val="0"/>
        <w:spacing w:before="0" w:after="0"/>
        <w:ind w:left="0" w:right="0" w:hanging="0"/>
        <w:jc w:val="center"/>
        <w:rPr>
          <w:color w:val="000000"/>
        </w:rPr>
      </w:pPr>
      <w:r>
        <w:rPr>
          <w:rFonts w:eastAsia="Times New Roman" w:cs="Times New Roman" w:ascii="Times New Roman" w:hAnsi="Times New Roman"/>
          <w:b/>
          <w:color w:val="000000"/>
        </w:rPr>
        <w:t>TITOLO II</w:t>
      </w:r>
    </w:p>
    <w:p>
      <w:pPr>
        <w:pStyle w:val="Normal"/>
        <w:widowControl/>
        <w:suppressAutoHyphens w:val="true"/>
        <w:bidi w:val="0"/>
        <w:spacing w:before="0" w:after="0"/>
        <w:ind w:left="0" w:right="0" w:hanging="0"/>
        <w:jc w:val="center"/>
        <w:rPr>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b/>
          <w:color w:val="000000"/>
        </w:rPr>
        <w:t>INDIPENDENZA E IMPARZIALITÁ</w:t>
      </w:r>
    </w:p>
    <w:p>
      <w:pPr>
        <w:pStyle w:val="Normal"/>
        <w:ind w:firstLine="709"/>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firstLine="709"/>
        <w:jc w:val="both"/>
        <w:rPr>
          <w:color w:val="000000"/>
        </w:rPr>
      </w:pPr>
      <w:r>
        <w:rPr>
          <w:rFonts w:eastAsia="Times New Roman" w:cs="Times New Roman" w:ascii="Times New Roman" w:hAnsi="Times New Roman"/>
          <w:b/>
          <w:color w:val="000000"/>
        </w:rPr>
        <w:t xml:space="preserve">Art. 3 </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 xml:space="preserve">Incompatibilità̀ </w:t>
      </w:r>
    </w:p>
    <w:p>
      <w:pPr>
        <w:pStyle w:val="Normal"/>
        <w:ind w:firstLine="709"/>
        <w:jc w:val="both"/>
        <w:rPr>
          <w:color w:val="000000"/>
        </w:rPr>
      </w:pPr>
      <w:r>
        <w:rPr>
          <w:rFonts w:eastAsia="Times New Roman" w:cs="Times New Roman" w:ascii="Times New Roman" w:hAnsi="Times New Roman"/>
          <w:color w:val="000000"/>
        </w:rPr>
        <w:t xml:space="preserve">I Componenti di ORECOL presentano ogni anno al </w:t>
      </w:r>
      <w:r>
        <w:rPr>
          <w:rFonts w:eastAsia="Times New Roman" w:cs="Times New Roman" w:ascii="Times New Roman" w:hAnsi="Times New Roman"/>
          <w:color w:val="000000"/>
          <w:kern w:val="0"/>
          <w:sz w:val="24"/>
          <w:szCs w:val="24"/>
          <w:lang w:val="it-IT" w:eastAsia="it-IT" w:bidi="ar-SA"/>
        </w:rPr>
        <w:t xml:space="preserve">Presidente </w:t>
      </w:r>
      <w:r>
        <w:rPr>
          <w:rFonts w:eastAsia="Times New Roman" w:cs="Times New Roman" w:ascii="Times New Roman" w:hAnsi="Times New Roman"/>
          <w:color w:val="000000"/>
        </w:rPr>
        <w:t xml:space="preserve"> della Giunta regionale una dichiarazione di insussistenza delle cause di incompatibilità̀ o di inconferibilità, anche sopravvenute alla nomina, previste dalla legislazione vigente, statale e regionale.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Art. 4 - Incarichi esterni e interessi economici o finanziari in conflitto con le funzioni dell’Organismo</w:t>
      </w:r>
    </w:p>
    <w:p>
      <w:pPr>
        <w:pStyle w:val="Normal"/>
        <w:numPr>
          <w:ilvl w:val="0"/>
          <w:numId w:val="6"/>
        </w:numPr>
        <w:ind w:left="0" w:firstLine="709"/>
        <w:jc w:val="both"/>
        <w:rPr>
          <w:color w:val="000000"/>
        </w:rPr>
      </w:pPr>
      <w:r>
        <w:rPr>
          <w:rFonts w:eastAsia="Times New Roman" w:cs="Times New Roman" w:ascii="Times New Roman" w:hAnsi="Times New Roman"/>
          <w:color w:val="000000"/>
        </w:rPr>
        <w:t>Per la partecipazione a conferenze, convegni e seminari o altre occasioni pubbliche, che abbiano ad oggetto le funzioni attribuite e le attività̀ svolte dall’Organismo, i Componenti richiedono preventiva autorizzazione a parteciparvi al Presidente della Giunta regionale e non accettano compensi o retribuzioni. Qualora sia stabilito un compenso, questo è devoluto al bilancio di Regione Piemonte. La disposizione di cui nanzi non trova applicazione per la partecipazione ad attività di formazione, essendo sufficiente la mera preventiva comunicazione al Presidente della Giunta regionale.</w:t>
      </w:r>
    </w:p>
    <w:p>
      <w:pPr>
        <w:pStyle w:val="Normal"/>
        <w:numPr>
          <w:ilvl w:val="0"/>
          <w:numId w:val="6"/>
        </w:numPr>
        <w:ind w:left="0" w:firstLine="709"/>
        <w:jc w:val="both"/>
        <w:rPr>
          <w:color w:val="000000"/>
        </w:rPr>
      </w:pPr>
      <w:r>
        <w:rPr>
          <w:rFonts w:eastAsia="Times New Roman" w:cs="Times New Roman" w:ascii="Times New Roman" w:hAnsi="Times New Roman"/>
          <w:color w:val="000000"/>
        </w:rPr>
        <w:t xml:space="preserve">I Componenti non possono ricoprire, a titolo gratuito o oneroso, cariche in fondazioni, associazioni o altri organismi </w:t>
      </w:r>
      <w:r>
        <w:rPr>
          <w:rFonts w:eastAsia="Times New Roman" w:cs="Times New Roman" w:ascii="Times New Roman" w:hAnsi="Times New Roman"/>
          <w:i/>
          <w:color w:val="000000"/>
        </w:rPr>
        <w:t>no profit,</w:t>
      </w:r>
      <w:r>
        <w:rPr>
          <w:rFonts w:eastAsia="Times New Roman" w:cs="Times New Roman" w:ascii="Times New Roman" w:hAnsi="Times New Roman"/>
          <w:color w:val="000000"/>
        </w:rPr>
        <w:t xml:space="preserve"> qualora si tratti di Organismi che possano trovarsi in conflitti di interesse con Orecol;</w:t>
      </w:r>
    </w:p>
    <w:p>
      <w:pPr>
        <w:pStyle w:val="Normal"/>
        <w:numPr>
          <w:ilvl w:val="0"/>
          <w:numId w:val="6"/>
        </w:numPr>
        <w:ind w:left="0" w:firstLine="709"/>
        <w:jc w:val="both"/>
        <w:rPr>
          <w:color w:val="000000"/>
        </w:rPr>
      </w:pPr>
      <w:r>
        <w:rPr>
          <w:rFonts w:eastAsia="Times New Roman" w:cs="Times New Roman" w:ascii="Times New Roman" w:hAnsi="Times New Roman"/>
          <w:color w:val="000000"/>
        </w:rPr>
        <w:t xml:space="preserve">I Componenti sono tenuti a comunicare annualmente al Presidente della Giunta regionale cariche e gli incarichi rivestiti, ivi comprese quelle rivestite dal coniuge, dal convivente e dai parenti e affini entro il secondo grado, qualora possano dare luogo a conflitti di interesse o comunque a conflitto con i doveri concernenti il proprio mandato. </w:t>
      </w:r>
    </w:p>
    <w:p>
      <w:pPr>
        <w:pStyle w:val="Normal"/>
        <w:numPr>
          <w:ilvl w:val="0"/>
          <w:numId w:val="6"/>
        </w:numPr>
        <w:ind w:left="0" w:firstLine="709"/>
        <w:jc w:val="both"/>
        <w:rPr>
          <w:color w:val="000000"/>
        </w:rPr>
      </w:pPr>
      <w:r>
        <w:rPr>
          <w:rFonts w:eastAsia="Times New Roman" w:cs="Times New Roman" w:ascii="Times New Roman" w:hAnsi="Times New Roman"/>
          <w:color w:val="000000"/>
        </w:rPr>
        <w:t xml:space="preserve">I Componenti hanno l’obbligo di dichiarare annualmente ad Orecol le attività̀ di carattere economico- finanziario, commerciale, professionale e di consulenza svolte, personalmente o dal coniuge, dal convivente e dai parenti e affini entro il secondo grado, che possano determinare un conflitto con i doveri attinenti al loro mandato. In </w:t>
      </w:r>
      <w:r>
        <w:rPr>
          <w:rFonts w:eastAsia="Times New Roman" w:cs="Times New Roman" w:ascii="Times New Roman" w:hAnsi="Times New Roman"/>
          <w:color w:val="000000"/>
          <w:kern w:val="0"/>
          <w:sz w:val="24"/>
          <w:szCs w:val="24"/>
          <w:lang w:val="it-IT" w:eastAsia="it-IT" w:bidi="ar-SA"/>
        </w:rPr>
        <w:t>tale ultimo caso</w:t>
      </w:r>
      <w:r>
        <w:rPr>
          <w:rFonts w:eastAsia="Times New Roman" w:cs="Times New Roman" w:ascii="Times New Roman" w:hAnsi="Times New Roman"/>
          <w:color w:val="000000"/>
        </w:rPr>
        <w:t>, i Componenti comunicano gli interessi, le quote di capitale e le partecipazioni possedute in attività̀ imprenditoriali, non acquistate in mercati regolamentati.</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5 - Partiti politici e organizzazioni sindacali </w:t>
      </w:r>
    </w:p>
    <w:p>
      <w:pPr>
        <w:pStyle w:val="Normal"/>
        <w:numPr>
          <w:ilvl w:val="0"/>
          <w:numId w:val="8"/>
        </w:numPr>
        <w:ind w:left="0" w:firstLine="709"/>
        <w:jc w:val="both"/>
        <w:rPr>
          <w:color w:val="000000"/>
        </w:rPr>
      </w:pPr>
      <w:r>
        <w:rPr>
          <w:rFonts w:eastAsia="Times New Roman" w:cs="Times New Roman" w:ascii="Times New Roman" w:hAnsi="Times New Roman"/>
          <w:color w:val="000000"/>
        </w:rPr>
        <w:t xml:space="preserve">I Componenti, nell’esercizio delle attività̀ dell’Organismo, non ostentano in alcun modo la loro appartenenza o le loro preferenze per determinati partiti politici e associazioni sindacali, serbando, sul punto, un doveroso e opportuno riserbo. </w:t>
      </w:r>
    </w:p>
    <w:p>
      <w:pPr>
        <w:pStyle w:val="Normal"/>
        <w:numPr>
          <w:ilvl w:val="0"/>
          <w:numId w:val="8"/>
        </w:numPr>
        <w:ind w:left="0" w:firstLine="709"/>
        <w:jc w:val="both"/>
        <w:rPr>
          <w:color w:val="000000"/>
        </w:rPr>
      </w:pPr>
      <w:r>
        <w:rPr>
          <w:rFonts w:eastAsia="Times New Roman" w:cs="Times New Roman" w:ascii="Times New Roman" w:hAnsi="Times New Roman"/>
          <w:color w:val="000000"/>
        </w:rPr>
        <w:t xml:space="preserve">La nomina a Componente di organi di indirizzo politico in pubbliche amministrazioni, ovvero in organismi </w:t>
      </w:r>
      <w:r>
        <w:rPr>
          <w:rFonts w:eastAsia="Times New Roman" w:cs="Times New Roman" w:ascii="Times New Roman" w:hAnsi="Times New Roman"/>
          <w:i/>
          <w:color w:val="000000"/>
        </w:rPr>
        <w:t>in house</w:t>
      </w:r>
      <w:r>
        <w:rPr>
          <w:rFonts w:eastAsia="Times New Roman" w:cs="Times New Roman" w:ascii="Times New Roman" w:hAnsi="Times New Roman"/>
          <w:color w:val="000000"/>
        </w:rPr>
        <w:t xml:space="preserve"> o in controllo regionale, è incompatibile con la permanenza nella carica di Componente Orecol. </w:t>
      </w:r>
    </w:p>
    <w:p>
      <w:pPr>
        <w:pStyle w:val="Normal"/>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firstLine="709"/>
        <w:jc w:val="both"/>
        <w:rPr>
          <w:color w:val="000000"/>
        </w:rPr>
      </w:pPr>
      <w:r>
        <w:rPr>
          <w:rFonts w:eastAsia="Times New Roman" w:cs="Times New Roman" w:ascii="Times New Roman" w:hAnsi="Times New Roman"/>
          <w:b/>
          <w:color w:val="000000"/>
        </w:rPr>
        <w:t xml:space="preserve">Art. 6 - Partecipazione ad associazioni occulte o segrete </w:t>
      </w:r>
    </w:p>
    <w:p>
      <w:pPr>
        <w:pStyle w:val="Normal"/>
        <w:ind w:firstLine="709"/>
        <w:jc w:val="both"/>
        <w:rPr>
          <w:color w:val="000000"/>
        </w:rPr>
      </w:pPr>
      <w:r>
        <w:rPr>
          <w:rFonts w:eastAsia="Times New Roman" w:cs="Times New Roman" w:ascii="Times New Roman" w:hAnsi="Times New Roman"/>
          <w:color w:val="000000"/>
        </w:rPr>
        <w:t xml:space="preserve">I Componenti non aderiscono ad associazioni segrete o occulte.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7 - Obbligo di astensione </w:t>
      </w:r>
    </w:p>
    <w:p>
      <w:pPr>
        <w:pStyle w:val="Normal"/>
        <w:numPr>
          <w:ilvl w:val="0"/>
          <w:numId w:val="9"/>
        </w:numPr>
        <w:ind w:left="0" w:firstLine="709"/>
        <w:jc w:val="both"/>
        <w:rPr>
          <w:color w:val="000000"/>
        </w:rPr>
      </w:pPr>
      <w:r>
        <w:rPr>
          <w:rFonts w:eastAsia="Times New Roman" w:cs="Times New Roman" w:ascii="Times New Roman" w:hAnsi="Times New Roman"/>
          <w:color w:val="000000"/>
        </w:rPr>
        <w:t>I Componenti hanno l’obbligo di astenersi da ogni decisione su argomenti riguardanti interessi propri, del coniuge, del convivente o dei parenti e affini entro il secondo grado, ovvero di persone che frequentino abitualmente. A tal fine valutano con il massimo rigore la ricorrenza di situazioni di potenziale conflitto di interessi e ne danno immediata comunicazione al  Presidente della Giunta regionale, astenendosi da ogni attività̀, anche di natura istruttoria, relativa a deliberazioni dell’Organismo. Ove ricorrano situazioni di incompatibilità hanno l’obbligo di segnalarlo, senza indugio, al Presidente della Giunta regionale.</w:t>
      </w:r>
    </w:p>
    <w:p>
      <w:pPr>
        <w:pStyle w:val="Normal"/>
        <w:numPr>
          <w:ilvl w:val="0"/>
          <w:numId w:val="9"/>
        </w:numPr>
        <w:ind w:left="0" w:firstLine="709"/>
        <w:jc w:val="both"/>
        <w:rPr>
          <w:color w:val="000000"/>
        </w:rPr>
      </w:pPr>
      <w:r>
        <w:rPr>
          <w:rFonts w:eastAsia="Times New Roman" w:cs="Times New Roman" w:ascii="Times New Roman" w:hAnsi="Times New Roman"/>
          <w:color w:val="000000"/>
        </w:rPr>
        <w:t xml:space="preserve">Nel caso in cui un conflitto di interessi, anche potenziale, riguardi argomenti da trattare nella seduta dell’Organismo, i Componenti, anche in caso di mancata partecipazione alle relative attività̀ istruttorie, si astengono dal prendere parte alla discussione ed alla votazione sulla pratica, allontanandosi dalla seduta e facendovi, poi, rientro soltanto al termine della predetta discussione e votazione.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8 - Obblighi di dichiarazione </w:t>
      </w:r>
    </w:p>
    <w:p>
      <w:pPr>
        <w:pStyle w:val="ListParagraph"/>
        <w:widowControl/>
        <w:numPr>
          <w:ilvl w:val="1"/>
          <w:numId w:val="9"/>
        </w:numPr>
        <w:suppressAutoHyphens w:val="true"/>
        <w:bidi w:val="0"/>
        <w:spacing w:before="0" w:after="0"/>
        <w:ind w:left="0" w:right="0" w:firstLine="737"/>
        <w:contextualSpacing/>
        <w:jc w:val="both"/>
        <w:rPr>
          <w:rFonts w:ascii="Times New Roman" w:hAnsi="Times New Roman" w:eastAsia="Times New Roman" w:cs="Times New Roman"/>
          <w:color w:val="000000"/>
          <w:kern w:val="0"/>
          <w:sz w:val="24"/>
          <w:szCs w:val="24"/>
          <w:lang w:val="it-IT" w:eastAsia="it-IT" w:bidi="ar-SA"/>
        </w:rPr>
      </w:pPr>
      <w:r>
        <w:rPr>
          <w:rFonts w:eastAsia="Times New Roman" w:cs="Times New Roman" w:ascii="Times New Roman" w:hAnsi="Times New Roman"/>
          <w:color w:val="000000"/>
          <w:kern w:val="0"/>
          <w:sz w:val="24"/>
          <w:szCs w:val="24"/>
          <w:lang w:val="it-IT" w:eastAsia="it-IT" w:bidi="ar-SA"/>
        </w:rPr>
        <w:t xml:space="preserve">I Componenti presentano, entro il 31 gennaio di ogni anno, una comunicazione contenente le dichiarazioni previste dal Codice. </w:t>
      </w:r>
    </w:p>
    <w:p>
      <w:pPr>
        <w:pStyle w:val="ListParagraph"/>
        <w:widowControl/>
        <w:numPr>
          <w:ilvl w:val="1"/>
          <w:numId w:val="9"/>
        </w:numPr>
        <w:suppressAutoHyphens w:val="true"/>
        <w:bidi w:val="0"/>
        <w:spacing w:before="0" w:after="0"/>
        <w:ind w:left="0" w:right="0" w:firstLine="737"/>
        <w:contextualSpacing/>
        <w:jc w:val="both"/>
        <w:rPr>
          <w:rFonts w:ascii="Times New Roman" w:hAnsi="Times New Roman" w:eastAsia="Times New Roman" w:cs="Times New Roman"/>
          <w:color w:val="000000"/>
          <w:kern w:val="0"/>
          <w:sz w:val="24"/>
          <w:szCs w:val="24"/>
          <w:lang w:val="it-IT" w:eastAsia="it-IT" w:bidi="ar-SA"/>
        </w:rPr>
      </w:pPr>
      <w:r>
        <w:rPr>
          <w:rFonts w:eastAsia="Times New Roman" w:cs="Times New Roman" w:ascii="Times New Roman" w:hAnsi="Times New Roman"/>
          <w:color w:val="000000"/>
          <w:kern w:val="0"/>
          <w:sz w:val="24"/>
          <w:szCs w:val="24"/>
          <w:lang w:val="it-IT" w:eastAsia="it-IT" w:bidi="ar-SA"/>
        </w:rPr>
        <w:t xml:space="preserve">Le comunicazioni sono custodite in un archivio riservato presso la Segreteria. </w:t>
      </w:r>
    </w:p>
    <w:p>
      <w:pPr>
        <w:pStyle w:val="ListParagraph"/>
        <w:widowControl/>
        <w:numPr>
          <w:ilvl w:val="1"/>
          <w:numId w:val="9"/>
        </w:numPr>
        <w:suppressAutoHyphens w:val="true"/>
        <w:bidi w:val="0"/>
        <w:spacing w:before="0" w:after="0"/>
        <w:ind w:left="0" w:right="0" w:firstLine="737"/>
        <w:contextualSpacing/>
        <w:jc w:val="both"/>
        <w:rPr/>
      </w:pPr>
      <w:r>
        <w:rPr>
          <w:rFonts w:eastAsia="Times New Roman" w:cs="Times New Roman" w:ascii="Times New Roman" w:hAnsi="Times New Roman"/>
          <w:color w:val="000000"/>
          <w:kern w:val="0"/>
          <w:sz w:val="24"/>
          <w:szCs w:val="24"/>
          <w:lang w:val="it-IT" w:eastAsia="it-IT" w:bidi="ar-SA"/>
        </w:rPr>
        <w:t>La mancata o tardiva presentazione o la presentazione di dichiarazioni non veritiere, incomplete o reticenti costituiscono violazione del Codice e sono segnalate per la valutazione dei provvedimenti ritenuti necessari o opportuni, non escluso quello del definitivo allontanamento dell’interessato dall</w:t>
      </w:r>
      <w:r>
        <w:rPr>
          <w:rFonts w:eastAsia="Times New Roman" w:cs="Times New Roman" w:ascii="Times New Roman" w:hAnsi="Times New Roman"/>
          <w:color w:val="000000"/>
        </w:rPr>
        <w:t xml:space="preserve">’Organismo, per revoca dell’incarico. </w:t>
      </w:r>
    </w:p>
    <w:p>
      <w:pPr>
        <w:pStyle w:val="Normal"/>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firstLine="709"/>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firstLine="709"/>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jc w:val="center"/>
        <w:rPr>
          <w:color w:val="000000"/>
        </w:rPr>
      </w:pPr>
      <w:r>
        <w:rPr>
          <w:rFonts w:eastAsia="Times New Roman" w:cs="Times New Roman" w:ascii="Times New Roman" w:hAnsi="Times New Roman"/>
          <w:b/>
          <w:color w:val="000000"/>
        </w:rPr>
        <w:t>TITOLO III</w:t>
        <w:br/>
        <w:t>CONDOTTA NELL’ESERCIZIO DELLE FUNZIONI</w:t>
      </w:r>
    </w:p>
    <w:p>
      <w:pPr>
        <w:pStyle w:val="Normal"/>
        <w:ind w:firstLine="709"/>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ind w:firstLine="709"/>
        <w:jc w:val="both"/>
        <w:rPr>
          <w:color w:val="000000"/>
        </w:rPr>
      </w:pPr>
      <w:r>
        <w:rPr>
          <w:rFonts w:eastAsia="Times New Roman" w:cs="Times New Roman" w:ascii="Times New Roman" w:hAnsi="Times New Roman"/>
          <w:b/>
          <w:color w:val="000000"/>
        </w:rPr>
        <w:t xml:space="preserve">Art. 9 - Doveri di diligenza e di operosità̀ </w:t>
      </w:r>
    </w:p>
    <w:p>
      <w:pPr>
        <w:pStyle w:val="Normal"/>
        <w:ind w:firstLine="709"/>
        <w:jc w:val="both"/>
        <w:rPr>
          <w:color w:val="000000"/>
        </w:rPr>
      </w:pPr>
      <w:r>
        <w:rPr>
          <w:rFonts w:eastAsia="Times New Roman" w:cs="Times New Roman" w:ascii="Times New Roman" w:hAnsi="Times New Roman"/>
          <w:color w:val="000000"/>
        </w:rPr>
        <w:t xml:space="preserve">I Componenti adempiono alle proprie funzioni con lealtà̀, diligenza e operosità̀, partecipando con assiduità̀ alle sedute, alle attività̀ preparatorie e ai lavori dell’Organismo e approfondendo le conoscenze nei settori in cui svolgono la propria attività̀.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10 - Modalità̀ di impiego delle risorse dell’amministrazione </w:t>
      </w:r>
    </w:p>
    <w:p>
      <w:pPr>
        <w:pStyle w:val="Normal"/>
        <w:ind w:firstLine="709"/>
        <w:jc w:val="both"/>
        <w:rPr>
          <w:color w:val="000000"/>
        </w:rPr>
      </w:pPr>
      <w:r>
        <w:rPr>
          <w:rFonts w:eastAsia="Times New Roman" w:cs="Times New Roman" w:ascii="Times New Roman" w:hAnsi="Times New Roman"/>
          <w:color w:val="000000"/>
        </w:rPr>
        <w:t xml:space="preserve">I Componenti curano che i mezzi, le dotazioni e le risorse d’ufficio siano utilizzate esclusivamente per il perseguimento di finalità̀ istituzionali e secondo canoni di economicità̀.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11 - Integrità̀ </w:t>
      </w:r>
    </w:p>
    <w:p>
      <w:pPr>
        <w:pStyle w:val="Normal"/>
        <w:numPr>
          <w:ilvl w:val="0"/>
          <w:numId w:val="1"/>
        </w:numPr>
        <w:ind w:left="0" w:firstLine="709"/>
        <w:jc w:val="both"/>
        <w:rPr>
          <w:color w:val="000000"/>
        </w:rPr>
      </w:pPr>
      <w:r>
        <w:rPr>
          <w:rFonts w:eastAsia="Times New Roman" w:cs="Times New Roman" w:ascii="Times New Roman" w:hAnsi="Times New Roman"/>
          <w:color w:val="000000"/>
        </w:rPr>
        <w:t xml:space="preserve">I Componenti non utilizzano la propria carica o le informazioni acquisite in occasione e nello svolgimento dei loro compiti istituzionali, per perseguire fini o conseguire benefici privati; non si avvalgono, inoltre, della posizione che ricoprono nell'Organismo per conseguire indebite utilità̀. </w:t>
      </w:r>
    </w:p>
    <w:p>
      <w:pPr>
        <w:pStyle w:val="Normal"/>
        <w:numPr>
          <w:ilvl w:val="0"/>
          <w:numId w:val="1"/>
        </w:numPr>
        <w:ind w:left="0" w:firstLine="709"/>
        <w:jc w:val="both"/>
        <w:rPr>
          <w:color w:val="000000"/>
        </w:rPr>
      </w:pPr>
      <w:r>
        <w:rPr>
          <w:rFonts w:eastAsia="Times New Roman" w:cs="Times New Roman" w:ascii="Times New Roman" w:hAnsi="Times New Roman"/>
          <w:color w:val="000000"/>
        </w:rPr>
        <w:t>I Componenti sono tenuti a comunicare al Presidente della Giunta regionale le condotte poste in essere da altri Componenti destinate a condizionarne i comportamenti e le decisioni dell’Organismo, o costituenti violazioni del codice di condotta.</w:t>
      </w:r>
    </w:p>
    <w:p>
      <w:pPr>
        <w:pStyle w:val="Normal"/>
        <w:ind w:left="709"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ind w:left="709" w:hanging="0"/>
        <w:jc w:val="both"/>
        <w:rPr>
          <w:color w:val="000000"/>
        </w:rPr>
      </w:pPr>
      <w:r>
        <w:rPr>
          <w:rFonts w:eastAsia="Times New Roman" w:cs="Times New Roman" w:ascii="Times New Roman" w:hAnsi="Times New Roman"/>
          <w:b/>
          <w:color w:val="000000"/>
        </w:rPr>
        <w:t xml:space="preserve">Art. 12 - Regali e altre utilità̀ </w:t>
      </w:r>
    </w:p>
    <w:p>
      <w:pPr>
        <w:pStyle w:val="Normal"/>
        <w:numPr>
          <w:ilvl w:val="0"/>
          <w:numId w:val="2"/>
        </w:numPr>
        <w:ind w:left="0" w:firstLine="709"/>
        <w:jc w:val="both"/>
        <w:rPr>
          <w:color w:val="000000"/>
        </w:rPr>
      </w:pPr>
      <w:r>
        <w:rPr>
          <w:rFonts w:eastAsia="Times New Roman" w:cs="Times New Roman" w:ascii="Times New Roman" w:hAnsi="Times New Roman"/>
          <w:color w:val="000000"/>
        </w:rPr>
        <w:t>I Componenti non accettano, in nessun caso, per sé o per altri, regali o altre utilità̀ da soggetti operanti nei settori sottoposti ai poteri di indirizzo, di vigilanza o di controllo dell’Organismo, ivi compresi i cd. regali d’uso di modico valore.</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13 - Riservatezza </w:t>
      </w:r>
    </w:p>
    <w:p>
      <w:pPr>
        <w:pStyle w:val="Normal"/>
        <w:numPr>
          <w:ilvl w:val="0"/>
          <w:numId w:val="3"/>
        </w:numPr>
        <w:ind w:left="0" w:firstLine="709"/>
        <w:jc w:val="both"/>
        <w:rPr>
          <w:color w:val="000000"/>
        </w:rPr>
      </w:pPr>
      <w:r>
        <w:rPr>
          <w:rFonts w:eastAsia="Times New Roman" w:cs="Times New Roman" w:ascii="Times New Roman" w:hAnsi="Times New Roman"/>
          <w:color w:val="000000"/>
        </w:rPr>
        <w:t xml:space="preserve">I Componenti rispettano il segreto d’ufficio e mantengono riservate le notizie e le informazioni apprese nell’esercizio delle proprie funzioni, che non siano oggetto di trasparenza in conformità̀ alla legge e ai regolamenti; non rilasciano dichiarazioni o informazioni sulle deliberazioni, anche istruttorie, dell’Organismo. </w:t>
      </w:r>
    </w:p>
    <w:p>
      <w:pPr>
        <w:pStyle w:val="Normal"/>
        <w:numPr>
          <w:ilvl w:val="0"/>
          <w:numId w:val="3"/>
        </w:numPr>
        <w:ind w:left="0" w:firstLine="709"/>
        <w:jc w:val="both"/>
        <w:rPr>
          <w:color w:val="000000"/>
        </w:rPr>
      </w:pPr>
      <w:r>
        <w:rPr>
          <w:rFonts w:eastAsia="Times New Roman" w:cs="Times New Roman" w:ascii="Times New Roman" w:hAnsi="Times New Roman"/>
          <w:color w:val="000000"/>
        </w:rPr>
        <w:t xml:space="preserve">I Componenti consultano gli atti e i fascicoli direttamente collegati alla loro attività̀ e ne fanno un uso conforme ai doveri d’ufficio.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Art. 14- Comportamento nei confronti del personale amministrativo della Regione e di Segreteria</w:t>
      </w:r>
    </w:p>
    <w:p>
      <w:pPr>
        <w:pStyle w:val="Normal"/>
        <w:ind w:firstLine="709"/>
        <w:jc w:val="both"/>
        <w:rPr>
          <w:color w:val="000000"/>
        </w:rPr>
      </w:pPr>
      <w:r>
        <w:rPr>
          <w:rFonts w:eastAsia="Times New Roman" w:cs="Times New Roman" w:ascii="Times New Roman" w:hAnsi="Times New Roman"/>
          <w:color w:val="000000"/>
        </w:rPr>
        <w:t xml:space="preserve">I Componenti ispirano il proprio comportamento nei confronti dei funzionari e dipendenti della Regione e del personale della Segreteria Orecol ai canoni di collaborazione e di imparzialità̀, valorizzandone, all’occorrenza, la competenza professionale.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15 - Rapporti con i cittadini e i soggetti che interloquiscono con l’Organismo </w:t>
      </w:r>
    </w:p>
    <w:p>
      <w:pPr>
        <w:pStyle w:val="Normal"/>
        <w:numPr>
          <w:ilvl w:val="0"/>
          <w:numId w:val="5"/>
        </w:numPr>
        <w:ind w:left="0" w:firstLine="709"/>
        <w:jc w:val="both"/>
        <w:rPr>
          <w:color w:val="000000"/>
        </w:rPr>
      </w:pPr>
      <w:r>
        <w:rPr>
          <w:rFonts w:eastAsia="Times New Roman" w:cs="Times New Roman" w:ascii="Times New Roman" w:hAnsi="Times New Roman"/>
          <w:color w:val="000000"/>
        </w:rPr>
        <w:t xml:space="preserve">I Componenti non intrattengono rapporti o comunicazioni con chi abbia comunque un interesse in procedimenti di competenza dell'Organismo, qualora si tratti di rapporti che possano compromettere la loro indipendenza di giudizio e di decisione, anche sotto il profilo dell’apparenza esterna. </w:t>
      </w:r>
    </w:p>
    <w:p>
      <w:pPr>
        <w:pStyle w:val="Normal"/>
        <w:numPr>
          <w:ilvl w:val="0"/>
          <w:numId w:val="5"/>
        </w:numPr>
        <w:ind w:left="0" w:firstLine="709"/>
        <w:jc w:val="both"/>
        <w:rPr>
          <w:color w:val="000000"/>
        </w:rPr>
      </w:pPr>
      <w:r>
        <w:rPr>
          <w:rFonts w:eastAsia="Times New Roman" w:cs="Times New Roman" w:ascii="Times New Roman" w:hAnsi="Times New Roman"/>
          <w:color w:val="000000"/>
        </w:rPr>
        <w:t xml:space="preserve">Nei rapporti con i Cittadini e con i soggetti che a vario titolo interloquiscono con l’Organismo, compresi i portatori di interessi particolari, i Componenti tengono un comportamento corretto, distaccato, disponibile e rispettoso della personalità̀ e della dignità̀ altrui e respingono ogni pressione, segnalazione o sollecitazione comunque diretta ad influire indebitamente sui tempi e sui modi di deliberazione dell’Organismo, informandone immediatamente il Presidente.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16 - Comportamenti nella vita sociale </w:t>
      </w:r>
    </w:p>
    <w:p>
      <w:pPr>
        <w:pStyle w:val="Normal"/>
        <w:ind w:firstLine="709"/>
        <w:jc w:val="both"/>
        <w:rPr>
          <w:color w:val="000000"/>
        </w:rPr>
      </w:pPr>
      <w:r>
        <w:rPr>
          <w:rFonts w:eastAsia="Times New Roman" w:cs="Times New Roman" w:ascii="Times New Roman" w:hAnsi="Times New Roman"/>
          <w:color w:val="000000"/>
        </w:rPr>
        <w:t xml:space="preserve">Nella vita sociale i Componenti ispirano la loro azione a principi di correttezza, sobrietà̀, integrità̀; evitano comportamenti che possano pregiudicare la loro immagine di integrità̀, indipendenza e imparzialità̀ o l’immagine e il prestigio dell’Organismo. </w:t>
      </w:r>
    </w:p>
    <w:p>
      <w:pPr>
        <w:pStyle w:val="Normal"/>
        <w:ind w:firstLine="709"/>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widowControl/>
        <w:suppressAutoHyphens w:val="true"/>
        <w:bidi w:val="0"/>
        <w:spacing w:before="0" w:after="0"/>
        <w:ind w:left="0" w:right="0" w:hanging="0"/>
        <w:jc w:val="center"/>
        <w:rPr/>
      </w:pPr>
      <w:r>
        <w:rPr>
          <w:rFonts w:eastAsia="Times New Roman" w:cs="Times New Roman" w:ascii="Times New Roman" w:hAnsi="Times New Roman"/>
          <w:b/>
          <w:color w:val="000000"/>
        </w:rPr>
        <w:t xml:space="preserve">TITOLO IV </w:t>
      </w:r>
    </w:p>
    <w:p>
      <w:pPr>
        <w:pStyle w:val="Normal"/>
        <w:widowControl/>
        <w:suppressAutoHyphens w:val="true"/>
        <w:bidi w:val="0"/>
        <w:spacing w:before="0" w:after="0"/>
        <w:ind w:left="0" w:right="0" w:hanging="0"/>
        <w:jc w:val="center"/>
        <w:rPr/>
      </w:pPr>
      <w:r>
        <w:rPr>
          <w:rFonts w:eastAsia="Times New Roman" w:cs="Times New Roman" w:ascii="Times New Roman" w:hAnsi="Times New Roman"/>
          <w:b/>
          <w:color w:val="000000"/>
        </w:rPr>
        <w:t>APPLICAZIONE DEL CODICE DI CONDOTTA</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jc w:val="both"/>
        <w:rPr>
          <w:color w:val="000000"/>
        </w:rPr>
      </w:pPr>
      <w:r>
        <w:rPr>
          <w:rFonts w:eastAsia="Times New Roman" w:cs="Times New Roman" w:ascii="Times New Roman" w:hAnsi="Times New Roman"/>
          <w:b/>
          <w:color w:val="000000"/>
        </w:rPr>
        <w:t xml:space="preserve">Art. 17 - Effettività̀ del Codice </w:t>
      </w:r>
    </w:p>
    <w:p>
      <w:pPr>
        <w:pStyle w:val="Normal"/>
        <w:ind w:firstLine="709"/>
        <w:jc w:val="both"/>
        <w:rPr>
          <w:color w:val="000000"/>
        </w:rPr>
      </w:pPr>
      <w:r>
        <w:rPr>
          <w:rFonts w:eastAsia="Times New Roman" w:cs="Times New Roman" w:ascii="Times New Roman" w:hAnsi="Times New Roman"/>
          <w:color w:val="000000"/>
        </w:rPr>
        <w:t xml:space="preserve">La violazione grave e reiterata dei doveri previsti dal Codice è segnalata dal Presidente dell’Organismo al Presidente della Giunta regionale e al Presidente del Consiglio regionale per quanto di rispettiva competenza. </w:t>
      </w:r>
    </w:p>
    <w:p>
      <w:pPr>
        <w:pStyle w:val="Normal"/>
        <w:ind w:firstLine="709"/>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ind w:firstLine="709"/>
        <w:rPr>
          <w:color w:val="000000"/>
        </w:rPr>
      </w:pPr>
      <w:r>
        <w:rPr>
          <w:rFonts w:eastAsia="Times New Roman" w:cs="Times New Roman" w:ascii="Times New Roman" w:hAnsi="Times New Roman"/>
          <w:b/>
          <w:color w:val="000000"/>
        </w:rPr>
        <w:t xml:space="preserve">Art. 18 </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Entrata in vigore</w:t>
      </w:r>
    </w:p>
    <w:p>
      <w:pPr>
        <w:pStyle w:val="Normal"/>
        <w:ind w:firstLine="709"/>
        <w:rPr>
          <w:color w:val="000000"/>
        </w:rPr>
      </w:pPr>
      <w:r>
        <w:rPr>
          <w:rFonts w:eastAsia="Times New Roman" w:cs="Times New Roman" w:ascii="Times New Roman" w:hAnsi="Times New Roman"/>
          <w:b/>
          <w:color w:val="000000"/>
        </w:rPr>
        <w:br/>
      </w:r>
      <w:r>
        <w:rPr>
          <w:rFonts w:eastAsia="Times New Roman" w:cs="Times New Roman" w:ascii="Times New Roman" w:hAnsi="Times New Roman"/>
          <w:color w:val="000000"/>
        </w:rPr>
        <w:t xml:space="preserve">Il Codice entra in vigore dal giorno successivo alla </w:t>
      </w:r>
      <w:r>
        <w:rPr>
          <w:rFonts w:eastAsia="Times New Roman" w:cs="Times New Roman" w:ascii="Times New Roman" w:hAnsi="Times New Roman"/>
          <w:color w:val="000000"/>
          <w:kern w:val="0"/>
          <w:sz w:val="24"/>
          <w:szCs w:val="24"/>
          <w:lang w:val="it-IT" w:eastAsia="it-IT" w:bidi="ar-SA"/>
        </w:rPr>
        <w:t>adozione da parte dell’</w:t>
      </w:r>
      <w:r>
        <w:rPr>
          <w:rFonts w:eastAsia="Times New Roman" w:cs="Times New Roman" w:ascii="Times New Roman" w:hAnsi="Times New Roman"/>
          <w:color w:val="000000"/>
        </w:rPr>
        <w:t>Organismo.</w:t>
      </w:r>
    </w:p>
    <w:p>
      <w:pPr>
        <w:pStyle w:val="Normal"/>
        <w:ind w:firstLine="709"/>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ind w:firstLine="709"/>
        <w:jc w:val="both"/>
        <w:rPr>
          <w:rFonts w:ascii="Times New Roman" w:hAnsi="Times New Roman" w:eastAsia="Times New Roman" w:cs="Times New Roman"/>
          <w:color w:val="000000"/>
        </w:rPr>
      </w:pPr>
      <w:r>
        <w:rPr>
          <w:sz w:val="24"/>
          <w:szCs w:val="24"/>
        </w:rPr>
      </w:r>
    </w:p>
    <w:p>
      <w:pPr>
        <w:pStyle w:val="Normal"/>
        <w:ind w:firstLine="709"/>
        <w:jc w:val="both"/>
        <w:rPr>
          <w:rFonts w:ascii="Times New Roman" w:hAnsi="Times New Roman" w:eastAsia="Times New Roman" w:cs="Times New Roman"/>
          <w:color w:val="000000"/>
        </w:rPr>
      </w:pPr>
      <w:r>
        <w:rPr>
          <w:sz w:val="24"/>
          <w:szCs w:val="24"/>
        </w:rPr>
      </w:r>
    </w:p>
    <w:p>
      <w:pPr>
        <w:pStyle w:val="Normal"/>
        <w:ind w:firstLine="709"/>
        <w:jc w:val="both"/>
        <w:rPr>
          <w:sz w:val="24"/>
          <w:szCs w:val="24"/>
        </w:rPr>
      </w:pPr>
      <w:r>
        <w:rPr>
          <w:rFonts w:eastAsia="Times New Roman" w:cs="Times New Roman" w:ascii="Times New Roman" w:hAnsi="Times New Roman"/>
          <w:color w:val="000000"/>
          <w:sz w:val="24"/>
          <w:szCs w:val="24"/>
        </w:rPr>
        <w:t>Torino, 2 marzo 2023</w:t>
      </w:r>
    </w:p>
    <w:p>
      <w:pPr>
        <w:pStyle w:val="Normal"/>
        <w:ind w:firstLine="709"/>
        <w:jc w:val="both"/>
        <w:rPr>
          <w:color w:val="000000"/>
        </w:rPr>
      </w:pPr>
      <w:r>
        <w:rPr/>
      </w:r>
    </w:p>
    <w:sectPr>
      <w:footerReference w:type="default" r:id="rId2"/>
      <w:type w:val="nextPage"/>
      <w:pgSz w:w="11906" w:h="16838"/>
      <w:pgMar w:left="1134" w:right="1137" w:header="0" w:top="1417" w:footer="708"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 w:name="Georgia">
    <w:charset w:val="00"/>
    <w:family w:val="roman"/>
    <w:pitch w:val="variable"/>
  </w:font>
  <w:font w:name="Times New Roman">
    <w:charset w:val="01"/>
    <w:family w:val="roman"/>
    <w:pitch w:val="variable"/>
  </w:font>
  <w:font w:name="Courier New">
    <w:charset w:val="01"/>
    <w:family w:val="modern"/>
    <w:pitch w:val="fixed"/>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819" w:leader="none"/>
        <w:tab w:val="right" w:pos="9638"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
      <w:tabs>
        <w:tab w:val="clear" w:pos="720"/>
        <w:tab w:val="center" w:pos="4819" w:leader="none"/>
        <w:tab w:val="right" w:pos="9638" w:leader="none"/>
      </w:tabs>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lvl w:ilvl="0">
      <w:start w:val="1"/>
      <w:numFmt w:val="bullet"/>
      <w:lvlText w:val="-"/>
      <w:lvlJc w:val="left"/>
      <w:pPr>
        <w:tabs>
          <w:tab w:val="num" w:pos="0"/>
        </w:tabs>
        <w:ind w:left="1729" w:hanging="102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Noto Sans Symbols" w:hAnsi="Noto Sans Symbols" w:cs="Noto Sans Symbols" w:hint="default"/>
      </w:rPr>
    </w:lvl>
    <w:lvl w:ilvl="3">
      <w:start w:val="1"/>
      <w:numFmt w:val="bullet"/>
      <w:lvlText w:val="●"/>
      <w:lvlJc w:val="left"/>
      <w:pPr>
        <w:tabs>
          <w:tab w:val="num" w:pos="0"/>
        </w:tabs>
        <w:ind w:left="3229" w:hanging="360"/>
      </w:pPr>
      <w:rPr>
        <w:rFonts w:ascii="Noto Sans Symbols" w:hAnsi="Noto Sans Symbols" w:cs="Noto Sans Symbols"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Noto Sans Symbols" w:hAnsi="Noto Sans Symbols" w:cs="Noto Sans Symbols" w:hint="default"/>
      </w:rPr>
    </w:lvl>
    <w:lvl w:ilvl="6">
      <w:start w:val="1"/>
      <w:numFmt w:val="bullet"/>
      <w:lvlText w:val="●"/>
      <w:lvlJc w:val="left"/>
      <w:pPr>
        <w:tabs>
          <w:tab w:val="num" w:pos="0"/>
        </w:tabs>
        <w:ind w:left="5389" w:hanging="360"/>
      </w:pPr>
      <w:rPr>
        <w:rFonts w:ascii="Noto Sans Symbols" w:hAnsi="Noto Sans Symbols" w:cs="Noto Sans Symbols"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Noto Sans Symbols" w:hAnsi="Noto Sans Symbols" w:cs="Noto Sans Symbols" w:hint="default"/>
      </w:rPr>
    </w:lvl>
  </w:abstractNum>
  <w:abstractNum w:abstractNumId="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mbria" w:hAnsi="Cambria" w:eastAsia="Cambria" w:cs="Cambria"/>
      <w:color w:val="auto"/>
      <w:kern w:val="0"/>
      <w:sz w:val="24"/>
      <w:szCs w:val="24"/>
      <w:lang w:val="it-IT" w:eastAsia="it-IT" w:bidi="ar-SA"/>
    </w:rPr>
  </w:style>
  <w:style w:type="paragraph" w:styleId="Titolo1">
    <w:name w:val="Heading 1"/>
    <w:basedOn w:val="Normal"/>
    <w:next w:val="Normal"/>
    <w:uiPriority w:val="9"/>
    <w:qFormat/>
    <w:pPr>
      <w:keepNext w:val="true"/>
      <w:keepLines/>
      <w:spacing w:before="480" w:after="120"/>
      <w:outlineLvl w:val="0"/>
    </w:pPr>
    <w:rPr>
      <w:b/>
      <w:sz w:val="48"/>
      <w:szCs w:val="48"/>
    </w:rPr>
  </w:style>
  <w:style w:type="paragraph" w:styleId="Titolo2">
    <w:name w:val="Heading 2"/>
    <w:basedOn w:val="Normal"/>
    <w:next w:val="Normal"/>
    <w:uiPriority w:val="9"/>
    <w:semiHidden/>
    <w:unhideWhenUsed/>
    <w:qFormat/>
    <w:pPr>
      <w:keepNext w:val="true"/>
      <w:keepLines/>
      <w:spacing w:before="360" w:after="80"/>
      <w:outlineLvl w:val="1"/>
    </w:pPr>
    <w:rPr>
      <w:b/>
      <w:sz w:val="36"/>
      <w:szCs w:val="36"/>
    </w:rPr>
  </w:style>
  <w:style w:type="paragraph" w:styleId="Titolo3">
    <w:name w:val="Heading 3"/>
    <w:basedOn w:val="Normal"/>
    <w:next w:val="Normal"/>
    <w:uiPriority w:val="9"/>
    <w:semiHidden/>
    <w:unhideWhenUsed/>
    <w:qFormat/>
    <w:pPr>
      <w:keepNext w:val="true"/>
      <w:keepLines/>
      <w:spacing w:before="280" w:after="80"/>
      <w:outlineLvl w:val="2"/>
    </w:pPr>
    <w:rPr>
      <w:b/>
      <w:sz w:val="28"/>
      <w:szCs w:val="28"/>
    </w:rPr>
  </w:style>
  <w:style w:type="paragraph" w:styleId="Titolo4">
    <w:name w:val="Heading 4"/>
    <w:basedOn w:val="Normal"/>
    <w:next w:val="Normal"/>
    <w:uiPriority w:val="9"/>
    <w:semiHidden/>
    <w:unhideWhenUsed/>
    <w:qFormat/>
    <w:pPr>
      <w:keepNext w:val="true"/>
      <w:keepLines/>
      <w:spacing w:before="240" w:after="40"/>
      <w:outlineLvl w:val="3"/>
    </w:pPr>
    <w:rPr>
      <w:b/>
    </w:rPr>
  </w:style>
  <w:style w:type="paragraph" w:styleId="Titolo5">
    <w:name w:val="Heading 5"/>
    <w:basedOn w:val="Normal"/>
    <w:next w:val="Normal"/>
    <w:uiPriority w:val="9"/>
    <w:semiHidden/>
    <w:unhideWhenUsed/>
    <w:qFormat/>
    <w:pPr>
      <w:keepNext w:val="true"/>
      <w:keepLines/>
      <w:spacing w:before="220" w:after="40"/>
      <w:outlineLvl w:val="4"/>
    </w:pPr>
    <w:rPr>
      <w:b/>
      <w:sz w:val="22"/>
      <w:szCs w:val="22"/>
    </w:rPr>
  </w:style>
  <w:style w:type="paragraph" w:styleId="Tito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uiPriority w:val="10"/>
    <w:qFormat/>
    <w:pPr>
      <w:keepNext w:val="true"/>
      <w:keepLines/>
      <w:spacing w:before="480" w:after="120"/>
    </w:pPr>
    <w:rPr>
      <w:b/>
      <w:sz w:val="72"/>
      <w:szCs w:val="72"/>
    </w:rPr>
  </w:style>
  <w:style w:type="paragraph" w:styleId="Sottotito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d2699c"/>
    <w:pPr>
      <w:spacing w:before="0" w:after="0"/>
      <w:ind w:left="720" w:hanging="0"/>
      <w:contextualSpacing/>
    </w:pPr>
    <w:rPr/>
  </w:style>
  <w:style w:type="paragraph" w:styleId="Intestazioneepidipagina">
    <w:name w:val="Intestazione e piè di pagina"/>
    <w:basedOn w:val="Normal"/>
    <w:qFormat/>
    <w:pPr/>
    <w:rPr/>
  </w:style>
  <w:style w:type="paragraph" w:styleId="Pidipagina">
    <w:name w:val="Foot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LibreOffice/7.0.4.2$Windows_X86_64 LibreOffice_project/dcf040e67528d9187c66b2379df5ea4407429775</Application>
  <AppVersion>15.0000</AppVersion>
  <Pages>5</Pages>
  <Words>1737</Words>
  <Characters>10477</Characters>
  <CharactersWithSpaces>12167</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2023-02-20T11:06:00Z</dcterms:created>
  <dc:creator/>
  <dc:description/>
  <dc:language>it-IT</dc:language>
  <cp:lastModifiedBy/>
  <dcterms:modified xsi:type="dcterms:W3CDTF">2023-03-06T10:26:38Z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