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16330" w14:textId="77777777" w:rsidR="00D030F2" w:rsidRPr="00590EBC" w:rsidRDefault="00D030F2" w:rsidP="00590EBC">
      <w:pPr>
        <w:autoSpaceDE w:val="0"/>
        <w:autoSpaceDN w:val="0"/>
        <w:adjustRightInd w:val="0"/>
        <w:spacing w:after="0" w:line="240" w:lineRule="auto"/>
        <w:jc w:val="both"/>
        <w:rPr>
          <w:rFonts w:cstheme="minorHAnsi"/>
          <w:b/>
          <w:bCs/>
          <w:sz w:val="24"/>
          <w:szCs w:val="24"/>
        </w:rPr>
      </w:pPr>
      <w:r w:rsidRPr="00590EBC">
        <w:rPr>
          <w:rFonts w:cstheme="minorHAnsi"/>
          <w:b/>
          <w:bCs/>
          <w:sz w:val="24"/>
          <w:szCs w:val="24"/>
        </w:rPr>
        <w:t>REGIONE PIEMONTE</w:t>
      </w:r>
    </w:p>
    <w:p w14:paraId="40272A10" w14:textId="77777777" w:rsidR="00D030F2" w:rsidRPr="00BE68ED" w:rsidRDefault="00D030F2" w:rsidP="00D030F2">
      <w:pPr>
        <w:autoSpaceDE w:val="0"/>
        <w:autoSpaceDN w:val="0"/>
        <w:adjustRightInd w:val="0"/>
        <w:spacing w:after="0" w:line="240" w:lineRule="auto"/>
        <w:jc w:val="both"/>
        <w:rPr>
          <w:rFonts w:cstheme="minorHAnsi"/>
          <w:b/>
          <w:bCs/>
          <w:sz w:val="24"/>
          <w:szCs w:val="24"/>
        </w:rPr>
      </w:pPr>
    </w:p>
    <w:p w14:paraId="39858AF1" w14:textId="77777777" w:rsidR="00D030F2" w:rsidRPr="00BE68ED" w:rsidRDefault="00D030F2" w:rsidP="00D030F2">
      <w:pPr>
        <w:autoSpaceDE w:val="0"/>
        <w:autoSpaceDN w:val="0"/>
        <w:adjustRightInd w:val="0"/>
        <w:spacing w:after="0" w:line="240" w:lineRule="auto"/>
        <w:jc w:val="both"/>
        <w:rPr>
          <w:rFonts w:cstheme="minorHAnsi"/>
          <w:b/>
          <w:bCs/>
          <w:sz w:val="24"/>
          <w:szCs w:val="24"/>
        </w:rPr>
      </w:pPr>
    </w:p>
    <w:p w14:paraId="5330254D" w14:textId="77777777" w:rsidR="00D030F2" w:rsidRPr="00BE68ED" w:rsidRDefault="00D030F2" w:rsidP="00D030F2">
      <w:pPr>
        <w:autoSpaceDE w:val="0"/>
        <w:autoSpaceDN w:val="0"/>
        <w:adjustRightInd w:val="0"/>
        <w:spacing w:after="0" w:line="240" w:lineRule="auto"/>
        <w:jc w:val="both"/>
        <w:rPr>
          <w:rFonts w:cstheme="minorHAnsi"/>
          <w:b/>
          <w:bCs/>
          <w:sz w:val="24"/>
          <w:szCs w:val="24"/>
        </w:rPr>
      </w:pPr>
      <w:r w:rsidRPr="00BE68ED">
        <w:rPr>
          <w:rFonts w:cstheme="minorHAnsi"/>
          <w:b/>
          <w:bCs/>
          <w:sz w:val="24"/>
          <w:szCs w:val="24"/>
        </w:rPr>
        <w:t>1. ALCUNE DINAMICHE REGIONALI</w:t>
      </w:r>
    </w:p>
    <w:p w14:paraId="7913EE6F" w14:textId="77777777" w:rsidR="00BE68ED" w:rsidRDefault="00BE68ED" w:rsidP="00D030F2">
      <w:pPr>
        <w:autoSpaceDE w:val="0"/>
        <w:autoSpaceDN w:val="0"/>
        <w:adjustRightInd w:val="0"/>
        <w:spacing w:after="0" w:line="240" w:lineRule="auto"/>
        <w:jc w:val="both"/>
        <w:rPr>
          <w:rFonts w:cstheme="minorHAnsi"/>
          <w:color w:val="000000"/>
        </w:rPr>
      </w:pPr>
    </w:p>
    <w:p w14:paraId="0CAF1502" w14:textId="69CF5E22" w:rsidR="00D030F2" w:rsidRPr="00BE68ED" w:rsidRDefault="00D030F2" w:rsidP="00D030F2">
      <w:pPr>
        <w:autoSpaceDE w:val="0"/>
        <w:autoSpaceDN w:val="0"/>
        <w:adjustRightInd w:val="0"/>
        <w:spacing w:after="0" w:line="240" w:lineRule="auto"/>
        <w:jc w:val="both"/>
        <w:rPr>
          <w:rFonts w:cstheme="minorHAnsi"/>
          <w:color w:val="000000"/>
        </w:rPr>
      </w:pPr>
      <w:r w:rsidRPr="00BE68ED">
        <w:rPr>
          <w:rFonts w:cstheme="minorHAnsi"/>
          <w:color w:val="000000"/>
        </w:rPr>
        <w:t>Nel 20</w:t>
      </w:r>
      <w:r w:rsidR="004F5C37" w:rsidRPr="00BE68ED">
        <w:rPr>
          <w:rFonts w:cstheme="minorHAnsi"/>
          <w:color w:val="000000"/>
        </w:rPr>
        <w:t>20</w:t>
      </w:r>
      <w:r w:rsidRPr="00BE68ED">
        <w:rPr>
          <w:rFonts w:cstheme="minorHAnsi"/>
          <w:color w:val="000000"/>
        </w:rPr>
        <w:t xml:space="preserve"> la popolazione del Piemonte, con </w:t>
      </w:r>
      <w:r w:rsidRPr="008A628F">
        <w:rPr>
          <w:rFonts w:cstheme="minorHAnsi"/>
          <w:color w:val="000000"/>
        </w:rPr>
        <w:t>4,</w:t>
      </w:r>
      <w:r w:rsidR="00192679" w:rsidRPr="008A628F">
        <w:rPr>
          <w:rFonts w:cstheme="minorHAnsi"/>
          <w:color w:val="000000"/>
        </w:rPr>
        <w:t>27 milioni</w:t>
      </w:r>
      <w:r w:rsidR="00192679">
        <w:rPr>
          <w:rFonts w:cstheme="minorHAnsi"/>
          <w:color w:val="000000"/>
        </w:rPr>
        <w:t xml:space="preserve"> di abitanti</w:t>
      </w:r>
      <w:r w:rsidRPr="00BE68ED">
        <w:rPr>
          <w:rFonts w:cstheme="minorHAnsi"/>
          <w:color w:val="000000"/>
        </w:rPr>
        <w:t xml:space="preserve">, rappresenta </w:t>
      </w:r>
      <w:r w:rsidR="00192679">
        <w:rPr>
          <w:rFonts w:cstheme="minorHAnsi"/>
          <w:color w:val="000000"/>
        </w:rPr>
        <w:t>il 10,9</w:t>
      </w:r>
      <w:r w:rsidRPr="00BE68ED">
        <w:rPr>
          <w:rFonts w:cstheme="minorHAnsi"/>
          <w:color w:val="000000"/>
        </w:rPr>
        <w:t xml:space="preserve"> per cento</w:t>
      </w:r>
      <w:r w:rsidR="00192679">
        <w:rPr>
          <w:rFonts w:cstheme="minorHAnsi"/>
          <w:color w:val="000000"/>
        </w:rPr>
        <w:t xml:space="preserve"> circa</w:t>
      </w:r>
      <w:r w:rsidRPr="00BE68ED">
        <w:rPr>
          <w:rFonts w:cstheme="minorHAnsi"/>
          <w:color w:val="000000"/>
        </w:rPr>
        <w:t xml:space="preserve"> della popolazione dell’intero Centro-Nord, e, rispetto all’intera nazione, la regione si posiziona come settima per numero di soggetti residenti. A partire dal 2015, i tassi di variazione della popolazione si presentano costantemente negativi (cfr. Figura1); in particolare, nel 20</w:t>
      </w:r>
      <w:r w:rsidR="004F5C37" w:rsidRPr="00BE68ED">
        <w:rPr>
          <w:rFonts w:cstheme="minorHAnsi"/>
          <w:color w:val="000000"/>
        </w:rPr>
        <w:t>20</w:t>
      </w:r>
      <w:r w:rsidRPr="00BE68ED">
        <w:rPr>
          <w:rFonts w:cstheme="minorHAnsi"/>
          <w:color w:val="000000"/>
        </w:rPr>
        <w:t>, il numero di abitanti nella regione si riduce dello 0,</w:t>
      </w:r>
      <w:r w:rsidR="004F5C37" w:rsidRPr="00BE68ED">
        <w:rPr>
          <w:rFonts w:cstheme="minorHAnsi"/>
          <w:color w:val="000000"/>
        </w:rPr>
        <w:t>8</w:t>
      </w:r>
      <w:r w:rsidRPr="00BE68ED">
        <w:rPr>
          <w:rFonts w:cstheme="minorHAnsi"/>
          <w:color w:val="000000"/>
        </w:rPr>
        <w:t xml:space="preserve"> per cento rispetto al 20</w:t>
      </w:r>
      <w:r w:rsidR="004F5C37" w:rsidRPr="00BE68ED">
        <w:rPr>
          <w:rFonts w:cstheme="minorHAnsi"/>
          <w:color w:val="000000"/>
        </w:rPr>
        <w:t>19</w:t>
      </w:r>
      <w:r w:rsidRPr="00BE68ED">
        <w:rPr>
          <w:rFonts w:cstheme="minorHAnsi"/>
          <w:color w:val="000000"/>
        </w:rPr>
        <w:t>,</w:t>
      </w:r>
      <w:bookmarkStart w:id="0" w:name="_GoBack"/>
      <w:bookmarkEnd w:id="0"/>
      <w:r w:rsidRPr="00BE68ED">
        <w:rPr>
          <w:rFonts w:cstheme="minorHAnsi"/>
          <w:color w:val="000000"/>
        </w:rPr>
        <w:t xml:space="preserve"> mentre nella macro area di riferimento il de</w:t>
      </w:r>
      <w:r w:rsidR="004F5C37" w:rsidRPr="00BE68ED">
        <w:rPr>
          <w:rFonts w:cstheme="minorHAnsi"/>
          <w:color w:val="000000"/>
        </w:rPr>
        <w:t>cremento è meno accentuato (-0,4</w:t>
      </w:r>
      <w:r w:rsidRPr="00BE68ED">
        <w:rPr>
          <w:rFonts w:cstheme="minorHAnsi"/>
          <w:color w:val="000000"/>
        </w:rPr>
        <w:t xml:space="preserve"> per cento).</w:t>
      </w:r>
    </w:p>
    <w:p w14:paraId="33C5AACB" w14:textId="77777777" w:rsidR="00D030F2" w:rsidRPr="00BE68ED" w:rsidRDefault="00D030F2" w:rsidP="00D030F2">
      <w:pPr>
        <w:autoSpaceDE w:val="0"/>
        <w:autoSpaceDN w:val="0"/>
        <w:adjustRightInd w:val="0"/>
        <w:spacing w:after="0" w:line="240" w:lineRule="auto"/>
        <w:jc w:val="both"/>
        <w:rPr>
          <w:rFonts w:cstheme="minorHAnsi"/>
          <w:color w:val="000000"/>
        </w:rPr>
      </w:pPr>
    </w:p>
    <w:p w14:paraId="41360902" w14:textId="77777777" w:rsidR="00D030F2" w:rsidRPr="00BE68ED" w:rsidRDefault="00D030F2" w:rsidP="00D030F2">
      <w:pPr>
        <w:autoSpaceDE w:val="0"/>
        <w:autoSpaceDN w:val="0"/>
        <w:adjustRightInd w:val="0"/>
        <w:spacing w:after="0" w:line="240" w:lineRule="auto"/>
        <w:jc w:val="both"/>
        <w:rPr>
          <w:rFonts w:cstheme="minorHAnsi"/>
          <w:b/>
          <w:bCs/>
          <w:sz w:val="20"/>
          <w:szCs w:val="20"/>
        </w:rPr>
      </w:pPr>
      <w:r w:rsidRPr="00BE68ED">
        <w:rPr>
          <w:rFonts w:cstheme="minorHAnsi"/>
          <w:b/>
          <w:bCs/>
          <w:sz w:val="20"/>
          <w:szCs w:val="20"/>
        </w:rPr>
        <w:t>Figura 1</w:t>
      </w:r>
      <w:r w:rsidR="00BE68ED" w:rsidRPr="00BE68ED">
        <w:rPr>
          <w:rFonts w:cstheme="minorHAnsi"/>
          <w:b/>
          <w:bCs/>
          <w:sz w:val="20"/>
          <w:szCs w:val="20"/>
        </w:rPr>
        <w:t>.</w:t>
      </w:r>
      <w:r w:rsidRPr="00BE68ED">
        <w:rPr>
          <w:rFonts w:cstheme="minorHAnsi"/>
          <w:b/>
          <w:bCs/>
          <w:sz w:val="20"/>
          <w:szCs w:val="20"/>
        </w:rPr>
        <w:t xml:space="preserve"> POPOLAZIONE RESIDENTE MEDIA (tassi di variazione annui)</w:t>
      </w:r>
    </w:p>
    <w:p w14:paraId="510474B5" w14:textId="77777777" w:rsidR="00D030F2" w:rsidRPr="00BE68ED" w:rsidRDefault="00D030F2" w:rsidP="00D030F2">
      <w:pPr>
        <w:autoSpaceDE w:val="0"/>
        <w:autoSpaceDN w:val="0"/>
        <w:adjustRightInd w:val="0"/>
        <w:spacing w:after="0" w:line="240" w:lineRule="auto"/>
        <w:jc w:val="both"/>
        <w:rPr>
          <w:rFonts w:cstheme="minorHAnsi"/>
          <w:color w:val="000000"/>
          <w:sz w:val="17"/>
          <w:szCs w:val="17"/>
        </w:rPr>
      </w:pPr>
    </w:p>
    <w:p w14:paraId="32FE1B92" w14:textId="77777777" w:rsidR="00D030F2" w:rsidRPr="00BE68ED" w:rsidRDefault="00D030F2" w:rsidP="00D030F2">
      <w:pPr>
        <w:autoSpaceDE w:val="0"/>
        <w:autoSpaceDN w:val="0"/>
        <w:adjustRightInd w:val="0"/>
        <w:spacing w:after="0" w:line="240" w:lineRule="auto"/>
        <w:jc w:val="center"/>
        <w:rPr>
          <w:rFonts w:cstheme="minorHAnsi"/>
          <w:color w:val="000000"/>
          <w:sz w:val="17"/>
          <w:szCs w:val="17"/>
        </w:rPr>
      </w:pPr>
      <w:r w:rsidRPr="00BE68ED">
        <w:rPr>
          <w:rFonts w:cstheme="minorHAnsi"/>
          <w:noProof/>
          <w:lang w:eastAsia="it-IT"/>
        </w:rPr>
        <w:drawing>
          <wp:inline distT="0" distB="0" distL="0" distR="0" wp14:anchorId="58FF7FC7" wp14:editId="5CD5CA56">
            <wp:extent cx="4572000" cy="2743200"/>
            <wp:effectExtent l="0" t="0" r="0" b="0"/>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9748562" w14:textId="77777777" w:rsidR="00D030F2" w:rsidRPr="00BE68ED" w:rsidRDefault="00D030F2" w:rsidP="00D030F2">
      <w:pPr>
        <w:autoSpaceDE w:val="0"/>
        <w:autoSpaceDN w:val="0"/>
        <w:adjustRightInd w:val="0"/>
        <w:spacing w:after="0" w:line="240" w:lineRule="auto"/>
        <w:jc w:val="both"/>
        <w:rPr>
          <w:rFonts w:cstheme="minorHAnsi"/>
          <w:color w:val="000000"/>
          <w:sz w:val="17"/>
          <w:szCs w:val="17"/>
        </w:rPr>
      </w:pPr>
    </w:p>
    <w:p w14:paraId="662DD62B" w14:textId="77777777" w:rsidR="00D030F2" w:rsidRPr="00BE68ED" w:rsidRDefault="00D030F2" w:rsidP="00D030F2">
      <w:pPr>
        <w:autoSpaceDE w:val="0"/>
        <w:autoSpaceDN w:val="0"/>
        <w:adjustRightInd w:val="0"/>
        <w:spacing w:after="0" w:line="240" w:lineRule="auto"/>
        <w:jc w:val="both"/>
        <w:rPr>
          <w:rFonts w:cstheme="minorHAnsi"/>
          <w:color w:val="000000"/>
          <w:sz w:val="17"/>
          <w:szCs w:val="17"/>
        </w:rPr>
      </w:pPr>
    </w:p>
    <w:p w14:paraId="077E1A19" w14:textId="77777777" w:rsidR="00D030F2" w:rsidRPr="00BE68ED" w:rsidRDefault="00D030F2" w:rsidP="00D030F2">
      <w:pPr>
        <w:autoSpaceDE w:val="0"/>
        <w:autoSpaceDN w:val="0"/>
        <w:adjustRightInd w:val="0"/>
        <w:spacing w:after="0" w:line="240" w:lineRule="auto"/>
        <w:jc w:val="both"/>
        <w:rPr>
          <w:rFonts w:cstheme="minorHAnsi"/>
          <w:color w:val="000000"/>
          <w:sz w:val="17"/>
          <w:szCs w:val="17"/>
        </w:rPr>
      </w:pPr>
      <w:r w:rsidRPr="00BE68ED">
        <w:rPr>
          <w:rFonts w:cstheme="minorHAnsi"/>
          <w:color w:val="000000"/>
          <w:sz w:val="17"/>
          <w:szCs w:val="17"/>
        </w:rPr>
        <w:t>Fonte: Istat, Bilancio demografico</w:t>
      </w:r>
    </w:p>
    <w:p w14:paraId="0BBBE8D5" w14:textId="77777777" w:rsidR="00D030F2" w:rsidRPr="00BE68ED" w:rsidRDefault="00D030F2" w:rsidP="00D030F2">
      <w:pPr>
        <w:autoSpaceDE w:val="0"/>
        <w:autoSpaceDN w:val="0"/>
        <w:adjustRightInd w:val="0"/>
        <w:spacing w:after="0" w:line="240" w:lineRule="auto"/>
        <w:jc w:val="both"/>
        <w:rPr>
          <w:rFonts w:cstheme="minorHAnsi"/>
          <w:color w:val="000000"/>
        </w:rPr>
      </w:pPr>
    </w:p>
    <w:p w14:paraId="42DFEC40" w14:textId="77777777" w:rsidR="00D030F2" w:rsidRPr="00BE68ED" w:rsidRDefault="00D030F2" w:rsidP="00D030F2">
      <w:pPr>
        <w:autoSpaceDE w:val="0"/>
        <w:autoSpaceDN w:val="0"/>
        <w:adjustRightInd w:val="0"/>
        <w:spacing w:after="0" w:line="240" w:lineRule="auto"/>
        <w:jc w:val="both"/>
        <w:rPr>
          <w:rFonts w:cstheme="minorHAnsi"/>
          <w:color w:val="000000"/>
        </w:rPr>
      </w:pPr>
    </w:p>
    <w:p w14:paraId="237727EC" w14:textId="77777777" w:rsidR="00D030F2" w:rsidRPr="00BE68ED" w:rsidRDefault="00D030F2" w:rsidP="00D030F2">
      <w:pPr>
        <w:autoSpaceDE w:val="0"/>
        <w:autoSpaceDN w:val="0"/>
        <w:adjustRightInd w:val="0"/>
        <w:spacing w:after="0" w:line="240" w:lineRule="auto"/>
        <w:jc w:val="both"/>
        <w:rPr>
          <w:rFonts w:cstheme="minorHAnsi"/>
          <w:color w:val="000000"/>
        </w:rPr>
      </w:pPr>
      <w:r w:rsidRPr="00BE68ED">
        <w:rPr>
          <w:rFonts w:cstheme="minorHAnsi"/>
          <w:color w:val="000000"/>
        </w:rPr>
        <w:t>Nel 20</w:t>
      </w:r>
      <w:r w:rsidR="004F5C37" w:rsidRPr="00BE68ED">
        <w:rPr>
          <w:rFonts w:cstheme="minorHAnsi"/>
          <w:color w:val="000000"/>
        </w:rPr>
        <w:t>20</w:t>
      </w:r>
      <w:r w:rsidRPr="00BE68ED">
        <w:rPr>
          <w:rFonts w:cstheme="minorHAnsi"/>
          <w:color w:val="000000"/>
        </w:rPr>
        <w:t xml:space="preserve"> il Prodotto Interno Lordo (PIL) della regione è pari, in termini reali, a </w:t>
      </w:r>
      <w:r w:rsidR="004F5C37" w:rsidRPr="00BE68ED">
        <w:rPr>
          <w:rFonts w:cstheme="minorHAnsi"/>
          <w:color w:val="000000"/>
        </w:rPr>
        <w:t>120,2</w:t>
      </w:r>
      <w:r w:rsidRPr="00BE68ED">
        <w:rPr>
          <w:rFonts w:cstheme="minorHAnsi"/>
          <w:color w:val="000000"/>
        </w:rPr>
        <w:t xml:space="preserve"> miliardi di euro, e rappresenta il </w:t>
      </w:r>
      <w:r w:rsidR="004F5C37" w:rsidRPr="00BE68ED">
        <w:rPr>
          <w:rFonts w:cstheme="minorHAnsi"/>
          <w:color w:val="000000"/>
        </w:rPr>
        <w:t>9,8</w:t>
      </w:r>
      <w:r w:rsidRPr="00BE68ED">
        <w:rPr>
          <w:rFonts w:cstheme="minorHAnsi"/>
          <w:color w:val="000000"/>
        </w:rPr>
        <w:t xml:space="preserve"> per cento del totale Centro-Nord.</w:t>
      </w:r>
    </w:p>
    <w:p w14:paraId="2D4345F4" w14:textId="77777777" w:rsidR="00D030F2" w:rsidRPr="00BE68ED" w:rsidRDefault="004F5C37" w:rsidP="00D030F2">
      <w:pPr>
        <w:autoSpaceDE w:val="0"/>
        <w:autoSpaceDN w:val="0"/>
        <w:adjustRightInd w:val="0"/>
        <w:spacing w:after="0" w:line="240" w:lineRule="auto"/>
        <w:jc w:val="both"/>
        <w:rPr>
          <w:rFonts w:cstheme="minorHAnsi"/>
          <w:color w:val="000000"/>
        </w:rPr>
      </w:pPr>
      <w:r w:rsidRPr="00BE68ED">
        <w:rPr>
          <w:rFonts w:cstheme="minorHAnsi"/>
          <w:color w:val="000000"/>
        </w:rPr>
        <w:t>Nell’anno 2020 si osserva un crollo del PIL del 9,7 per cento dovuto alle misure di contenimento sociale introdotte a causa della pandemia COVID-19</w:t>
      </w:r>
      <w:r w:rsidR="00D030F2" w:rsidRPr="00BE68ED">
        <w:rPr>
          <w:rFonts w:cstheme="minorHAnsi"/>
          <w:color w:val="000000"/>
        </w:rPr>
        <w:t xml:space="preserve"> (cfr. Figura 2)</w:t>
      </w:r>
      <w:r w:rsidRPr="00BE68ED">
        <w:rPr>
          <w:rFonts w:cstheme="minorHAnsi"/>
          <w:color w:val="000000"/>
        </w:rPr>
        <w:t>.</w:t>
      </w:r>
      <w:r w:rsidR="00D030F2" w:rsidRPr="00BE68ED">
        <w:rPr>
          <w:rFonts w:cstheme="minorHAnsi"/>
          <w:color w:val="000000"/>
        </w:rPr>
        <w:t xml:space="preserve"> </w:t>
      </w:r>
      <w:r w:rsidR="007504A1" w:rsidRPr="00BE68ED">
        <w:rPr>
          <w:rFonts w:cstheme="minorHAnsi"/>
          <w:color w:val="000000"/>
        </w:rPr>
        <w:t xml:space="preserve">La diminuzione è </w:t>
      </w:r>
      <w:r w:rsidR="00D030F2" w:rsidRPr="00BE68ED">
        <w:rPr>
          <w:rFonts w:cstheme="minorHAnsi"/>
          <w:color w:val="000000"/>
        </w:rPr>
        <w:t>più marcat</w:t>
      </w:r>
      <w:r w:rsidR="007504A1" w:rsidRPr="00BE68ED">
        <w:rPr>
          <w:rFonts w:cstheme="minorHAnsi"/>
          <w:color w:val="000000"/>
        </w:rPr>
        <w:t>a</w:t>
      </w:r>
      <w:r w:rsidR="00D030F2" w:rsidRPr="00BE68ED">
        <w:rPr>
          <w:rFonts w:cstheme="minorHAnsi"/>
          <w:color w:val="000000"/>
        </w:rPr>
        <w:t xml:space="preserve"> rispetto a quanto si osserva sia nel Centro-Nord che nel Mezzogiorno (rispettivamente, </w:t>
      </w:r>
      <w:r w:rsidR="007504A1" w:rsidRPr="00BE68ED">
        <w:rPr>
          <w:rFonts w:cstheme="minorHAnsi"/>
          <w:color w:val="000000"/>
        </w:rPr>
        <w:t>-9,1</w:t>
      </w:r>
      <w:r w:rsidR="00D030F2" w:rsidRPr="00BE68ED">
        <w:rPr>
          <w:rFonts w:cstheme="minorHAnsi"/>
          <w:color w:val="000000"/>
        </w:rPr>
        <w:t xml:space="preserve"> per cento e </w:t>
      </w:r>
      <w:r w:rsidR="007504A1" w:rsidRPr="00BE68ED">
        <w:rPr>
          <w:rFonts w:cstheme="minorHAnsi"/>
          <w:color w:val="000000"/>
        </w:rPr>
        <w:t>-8,6</w:t>
      </w:r>
      <w:r w:rsidR="00D030F2" w:rsidRPr="00BE68ED">
        <w:rPr>
          <w:rFonts w:cstheme="minorHAnsi"/>
          <w:color w:val="000000"/>
        </w:rPr>
        <w:t xml:space="preserve"> per cento).</w:t>
      </w:r>
    </w:p>
    <w:p w14:paraId="08DF647B" w14:textId="77777777" w:rsidR="00D030F2" w:rsidRPr="00BE68ED" w:rsidRDefault="00D030F2" w:rsidP="00D030F2">
      <w:pPr>
        <w:autoSpaceDE w:val="0"/>
        <w:autoSpaceDN w:val="0"/>
        <w:adjustRightInd w:val="0"/>
        <w:spacing w:after="0" w:line="240" w:lineRule="auto"/>
        <w:jc w:val="both"/>
        <w:rPr>
          <w:rFonts w:cstheme="minorHAnsi"/>
          <w:b/>
          <w:bCs/>
          <w:color w:val="4F82BE"/>
          <w:sz w:val="20"/>
          <w:szCs w:val="20"/>
        </w:rPr>
      </w:pPr>
    </w:p>
    <w:p w14:paraId="7D1E770E" w14:textId="77777777" w:rsidR="00D030F2" w:rsidRPr="00BE68ED" w:rsidRDefault="00D030F2" w:rsidP="00D030F2">
      <w:pPr>
        <w:autoSpaceDE w:val="0"/>
        <w:autoSpaceDN w:val="0"/>
        <w:adjustRightInd w:val="0"/>
        <w:spacing w:after="0" w:line="240" w:lineRule="auto"/>
        <w:jc w:val="both"/>
        <w:rPr>
          <w:rFonts w:cstheme="minorHAnsi"/>
          <w:b/>
          <w:bCs/>
          <w:color w:val="4F82BE"/>
          <w:sz w:val="20"/>
          <w:szCs w:val="20"/>
        </w:rPr>
      </w:pPr>
    </w:p>
    <w:p w14:paraId="14CA5304" w14:textId="77777777" w:rsidR="00D030F2" w:rsidRPr="00BE68ED" w:rsidRDefault="00D030F2" w:rsidP="00D030F2">
      <w:pPr>
        <w:autoSpaceDE w:val="0"/>
        <w:autoSpaceDN w:val="0"/>
        <w:adjustRightInd w:val="0"/>
        <w:spacing w:after="0" w:line="240" w:lineRule="auto"/>
        <w:jc w:val="both"/>
        <w:rPr>
          <w:rFonts w:cstheme="minorHAnsi"/>
          <w:b/>
          <w:bCs/>
          <w:sz w:val="20"/>
          <w:szCs w:val="20"/>
        </w:rPr>
      </w:pPr>
      <w:r w:rsidRPr="00BE68ED">
        <w:rPr>
          <w:rFonts w:cstheme="minorHAnsi"/>
          <w:b/>
          <w:bCs/>
          <w:sz w:val="20"/>
          <w:szCs w:val="20"/>
        </w:rPr>
        <w:t>Figura 2 PRODOTTO INTERNO LORDO A PREZZI COSTANTI, BASE 2015 (tassi di variazione annui)</w:t>
      </w:r>
    </w:p>
    <w:p w14:paraId="30DF8EE8" w14:textId="77777777" w:rsidR="00D030F2" w:rsidRPr="00BE68ED" w:rsidRDefault="00D030F2" w:rsidP="00D030F2">
      <w:pPr>
        <w:autoSpaceDE w:val="0"/>
        <w:autoSpaceDN w:val="0"/>
        <w:adjustRightInd w:val="0"/>
        <w:spacing w:after="0" w:line="240" w:lineRule="auto"/>
        <w:jc w:val="both"/>
        <w:rPr>
          <w:rFonts w:cstheme="minorHAnsi"/>
          <w:color w:val="000000"/>
          <w:sz w:val="17"/>
          <w:szCs w:val="17"/>
        </w:rPr>
      </w:pPr>
    </w:p>
    <w:p w14:paraId="0B7A1494" w14:textId="77777777" w:rsidR="00D030F2" w:rsidRPr="00BE68ED" w:rsidRDefault="00D030F2" w:rsidP="00D030F2">
      <w:pPr>
        <w:autoSpaceDE w:val="0"/>
        <w:autoSpaceDN w:val="0"/>
        <w:adjustRightInd w:val="0"/>
        <w:spacing w:after="0" w:line="240" w:lineRule="auto"/>
        <w:jc w:val="center"/>
        <w:rPr>
          <w:rFonts w:cstheme="minorHAnsi"/>
          <w:color w:val="000000"/>
          <w:sz w:val="17"/>
          <w:szCs w:val="17"/>
        </w:rPr>
      </w:pPr>
      <w:r w:rsidRPr="00BE68ED">
        <w:rPr>
          <w:rFonts w:cstheme="minorHAnsi"/>
          <w:noProof/>
          <w:lang w:eastAsia="it-IT"/>
        </w:rPr>
        <w:lastRenderedPageBreak/>
        <w:drawing>
          <wp:inline distT="0" distB="0" distL="0" distR="0" wp14:anchorId="10C0254E" wp14:editId="3663CF91">
            <wp:extent cx="4572000" cy="2743200"/>
            <wp:effectExtent l="0" t="0" r="0" b="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743161" w14:textId="77777777" w:rsidR="00D030F2" w:rsidRPr="00BE68ED" w:rsidRDefault="00D030F2" w:rsidP="00D030F2">
      <w:pPr>
        <w:autoSpaceDE w:val="0"/>
        <w:autoSpaceDN w:val="0"/>
        <w:adjustRightInd w:val="0"/>
        <w:spacing w:after="0" w:line="240" w:lineRule="auto"/>
        <w:jc w:val="both"/>
        <w:rPr>
          <w:rFonts w:cstheme="minorHAnsi"/>
          <w:color w:val="000000"/>
          <w:sz w:val="17"/>
          <w:szCs w:val="17"/>
        </w:rPr>
      </w:pPr>
    </w:p>
    <w:p w14:paraId="3597383F" w14:textId="77777777" w:rsidR="00D030F2" w:rsidRPr="00BE68ED" w:rsidRDefault="00D030F2" w:rsidP="00D030F2">
      <w:pPr>
        <w:autoSpaceDE w:val="0"/>
        <w:autoSpaceDN w:val="0"/>
        <w:adjustRightInd w:val="0"/>
        <w:spacing w:after="0" w:line="240" w:lineRule="auto"/>
        <w:jc w:val="both"/>
        <w:rPr>
          <w:rFonts w:cstheme="minorHAnsi"/>
          <w:color w:val="000000"/>
          <w:sz w:val="17"/>
          <w:szCs w:val="17"/>
        </w:rPr>
      </w:pPr>
      <w:r w:rsidRPr="00BE68ED">
        <w:rPr>
          <w:rFonts w:cstheme="minorHAnsi"/>
          <w:color w:val="000000"/>
          <w:sz w:val="17"/>
          <w:szCs w:val="17"/>
        </w:rPr>
        <w:t>Fonte: Istat - Conti economici territoriali</w:t>
      </w:r>
    </w:p>
    <w:p w14:paraId="055592D8" w14:textId="77777777" w:rsidR="00D030F2" w:rsidRPr="00BE68ED" w:rsidRDefault="00D030F2" w:rsidP="00D030F2">
      <w:pPr>
        <w:autoSpaceDE w:val="0"/>
        <w:autoSpaceDN w:val="0"/>
        <w:adjustRightInd w:val="0"/>
        <w:spacing w:after="0" w:line="240" w:lineRule="auto"/>
        <w:jc w:val="both"/>
        <w:rPr>
          <w:rFonts w:cstheme="minorHAnsi"/>
          <w:b/>
          <w:bCs/>
          <w:color w:val="4F82BE"/>
          <w:sz w:val="24"/>
          <w:szCs w:val="24"/>
        </w:rPr>
      </w:pPr>
    </w:p>
    <w:p w14:paraId="3EEF26A9" w14:textId="77777777" w:rsidR="00D030F2" w:rsidRPr="00BE68ED" w:rsidRDefault="00D030F2" w:rsidP="00D030F2">
      <w:pPr>
        <w:autoSpaceDE w:val="0"/>
        <w:autoSpaceDN w:val="0"/>
        <w:adjustRightInd w:val="0"/>
        <w:spacing w:after="0" w:line="240" w:lineRule="auto"/>
        <w:jc w:val="both"/>
        <w:rPr>
          <w:rFonts w:cstheme="minorHAnsi"/>
          <w:b/>
          <w:bCs/>
          <w:color w:val="4F82BE"/>
          <w:sz w:val="24"/>
          <w:szCs w:val="24"/>
        </w:rPr>
      </w:pPr>
    </w:p>
    <w:p w14:paraId="77AAF217" w14:textId="77777777" w:rsidR="00D030F2" w:rsidRPr="00BE68ED" w:rsidRDefault="00D030F2" w:rsidP="00D030F2">
      <w:pPr>
        <w:autoSpaceDE w:val="0"/>
        <w:autoSpaceDN w:val="0"/>
        <w:adjustRightInd w:val="0"/>
        <w:spacing w:after="0" w:line="240" w:lineRule="auto"/>
        <w:jc w:val="both"/>
        <w:rPr>
          <w:rFonts w:cstheme="minorHAnsi"/>
          <w:b/>
          <w:bCs/>
          <w:color w:val="4F82BE"/>
          <w:sz w:val="24"/>
          <w:szCs w:val="24"/>
        </w:rPr>
      </w:pPr>
    </w:p>
    <w:p w14:paraId="74164E3E" w14:textId="77777777" w:rsidR="00D030F2" w:rsidRPr="00BE68ED" w:rsidRDefault="00D030F2" w:rsidP="00D030F2">
      <w:pPr>
        <w:autoSpaceDE w:val="0"/>
        <w:autoSpaceDN w:val="0"/>
        <w:adjustRightInd w:val="0"/>
        <w:spacing w:after="0" w:line="240" w:lineRule="auto"/>
        <w:jc w:val="both"/>
        <w:rPr>
          <w:rFonts w:cstheme="minorHAnsi"/>
          <w:b/>
          <w:bCs/>
          <w:sz w:val="24"/>
          <w:szCs w:val="24"/>
        </w:rPr>
      </w:pPr>
      <w:r w:rsidRPr="00BE68ED">
        <w:rPr>
          <w:rFonts w:cstheme="minorHAnsi"/>
          <w:b/>
          <w:bCs/>
          <w:sz w:val="24"/>
          <w:szCs w:val="24"/>
        </w:rPr>
        <w:t>2. I FLUSSI DI ENTRATA DEL SETTORE PUBBLICO ALLARGATO</w:t>
      </w:r>
    </w:p>
    <w:p w14:paraId="16C4A453" w14:textId="77777777" w:rsidR="00BE68ED" w:rsidRPr="00BE68ED" w:rsidRDefault="00BE68ED" w:rsidP="00D030F2">
      <w:pPr>
        <w:autoSpaceDE w:val="0"/>
        <w:autoSpaceDN w:val="0"/>
        <w:adjustRightInd w:val="0"/>
        <w:spacing w:after="0" w:line="240" w:lineRule="auto"/>
        <w:jc w:val="both"/>
        <w:rPr>
          <w:rFonts w:cstheme="minorHAnsi"/>
          <w:b/>
          <w:bCs/>
          <w:color w:val="4F82BE"/>
          <w:sz w:val="24"/>
          <w:szCs w:val="24"/>
        </w:rPr>
      </w:pPr>
    </w:p>
    <w:p w14:paraId="10E0CB1D" w14:textId="77777777" w:rsidR="00D030F2" w:rsidRPr="00BE68ED" w:rsidRDefault="00D030F2" w:rsidP="00D030F2">
      <w:pPr>
        <w:autoSpaceDE w:val="0"/>
        <w:autoSpaceDN w:val="0"/>
        <w:adjustRightInd w:val="0"/>
        <w:spacing w:after="0" w:line="240" w:lineRule="auto"/>
        <w:jc w:val="both"/>
        <w:rPr>
          <w:rFonts w:cstheme="minorHAnsi"/>
          <w:color w:val="000000"/>
        </w:rPr>
      </w:pPr>
      <w:r w:rsidRPr="00BE68ED">
        <w:rPr>
          <w:rFonts w:cstheme="minorHAnsi"/>
          <w:color w:val="000000"/>
        </w:rPr>
        <w:t>Nel 20</w:t>
      </w:r>
      <w:r w:rsidR="007504A1" w:rsidRPr="00BE68ED">
        <w:rPr>
          <w:rFonts w:cstheme="minorHAnsi"/>
          <w:color w:val="000000"/>
        </w:rPr>
        <w:t>20</w:t>
      </w:r>
      <w:r w:rsidRPr="00BE68ED">
        <w:rPr>
          <w:rFonts w:cstheme="minorHAnsi"/>
          <w:color w:val="000000"/>
        </w:rPr>
        <w:t xml:space="preserve"> le entrate</w:t>
      </w:r>
      <w:r w:rsidRPr="00BE68ED">
        <w:rPr>
          <w:rFonts w:cstheme="minorHAnsi"/>
          <w:color w:val="000000"/>
          <w:sz w:val="14"/>
          <w:szCs w:val="14"/>
        </w:rPr>
        <w:t xml:space="preserve"> </w:t>
      </w:r>
      <w:r w:rsidRPr="00BE68ED">
        <w:rPr>
          <w:rFonts w:cstheme="minorHAnsi"/>
          <w:color w:val="000000"/>
        </w:rPr>
        <w:t xml:space="preserve">del Settore Pubblico Allargato (SPA) in Piemonte ammontano, in termini reali, a </w:t>
      </w:r>
      <w:r w:rsidR="007504A1" w:rsidRPr="00BE68ED">
        <w:rPr>
          <w:rFonts w:cstheme="minorHAnsi"/>
          <w:color w:val="000000"/>
        </w:rPr>
        <w:t>75.837</w:t>
      </w:r>
      <w:r w:rsidRPr="00BE68ED">
        <w:rPr>
          <w:rFonts w:cstheme="minorHAnsi"/>
          <w:color w:val="000000"/>
        </w:rPr>
        <w:t xml:space="preserve"> milioni di euro, e rappresentano il 9</w:t>
      </w:r>
      <w:r w:rsidR="0005097F">
        <w:rPr>
          <w:rFonts w:cstheme="minorHAnsi"/>
          <w:color w:val="000000"/>
        </w:rPr>
        <w:t>,9 per cento del totale Centro-</w:t>
      </w:r>
      <w:r w:rsidRPr="00BE68ED">
        <w:rPr>
          <w:rFonts w:cstheme="minorHAnsi"/>
          <w:color w:val="000000"/>
        </w:rPr>
        <w:t xml:space="preserve">Nord, pari a </w:t>
      </w:r>
      <w:r w:rsidR="007504A1" w:rsidRPr="00BE68ED">
        <w:rPr>
          <w:rFonts w:cstheme="minorHAnsi"/>
          <w:color w:val="000000"/>
        </w:rPr>
        <w:t>765.859</w:t>
      </w:r>
      <w:r w:rsidRPr="00BE68ED">
        <w:rPr>
          <w:rFonts w:cstheme="minorHAnsi"/>
          <w:color w:val="000000"/>
        </w:rPr>
        <w:t xml:space="preserve"> milioni di euro. </w:t>
      </w:r>
      <w:r w:rsidR="007504A1" w:rsidRPr="00BE68ED">
        <w:rPr>
          <w:rFonts w:cstheme="minorHAnsi"/>
          <w:color w:val="000000"/>
        </w:rPr>
        <w:t>I valori assoluti riportati in Figura 3 mostrano un salto del livello delle entrate piemontesi tra il 2006 ed il 2008, imputabile principalmente all’incremento dei Tributi propri dello Stato, per poi riportarsi su quote più contenute negli anni successivi. Dopo una crescita osservabile nel periodo 2014-2019, nell’ultimo anno le entrate del SPA in Piemonte subiscono una flessione dell’8,6 per cento a causa dello stop delle attività economiche e delle misure di contenimento sociale introdotte a causa del COVID-19.</w:t>
      </w:r>
    </w:p>
    <w:p w14:paraId="1ADCCB8A" w14:textId="77777777" w:rsidR="00D030F2" w:rsidRPr="00BE68ED" w:rsidRDefault="00D030F2" w:rsidP="00D030F2">
      <w:pPr>
        <w:autoSpaceDE w:val="0"/>
        <w:autoSpaceDN w:val="0"/>
        <w:adjustRightInd w:val="0"/>
        <w:spacing w:after="0" w:line="240" w:lineRule="auto"/>
        <w:jc w:val="both"/>
        <w:rPr>
          <w:rFonts w:cstheme="minorHAnsi"/>
          <w:color w:val="000000"/>
        </w:rPr>
      </w:pPr>
    </w:p>
    <w:p w14:paraId="237922DC" w14:textId="77777777" w:rsidR="00D030F2" w:rsidRDefault="00D030F2" w:rsidP="00D030F2">
      <w:pPr>
        <w:autoSpaceDE w:val="0"/>
        <w:autoSpaceDN w:val="0"/>
        <w:adjustRightInd w:val="0"/>
        <w:spacing w:after="0" w:line="240" w:lineRule="auto"/>
        <w:jc w:val="both"/>
        <w:rPr>
          <w:rFonts w:cstheme="minorHAnsi"/>
          <w:b/>
          <w:bCs/>
          <w:sz w:val="20"/>
          <w:szCs w:val="20"/>
        </w:rPr>
      </w:pPr>
      <w:r w:rsidRPr="00BE68ED">
        <w:rPr>
          <w:rFonts w:cstheme="minorHAnsi"/>
          <w:b/>
          <w:bCs/>
          <w:sz w:val="20"/>
          <w:szCs w:val="20"/>
        </w:rPr>
        <w:t xml:space="preserve">Figura 3 SPA - ENTRATE TOTALI </w:t>
      </w:r>
      <w:r w:rsidR="00501036" w:rsidRPr="00BE68ED">
        <w:rPr>
          <w:rFonts w:cstheme="minorHAnsi"/>
          <w:b/>
          <w:bCs/>
          <w:sz w:val="20"/>
          <w:szCs w:val="20"/>
        </w:rPr>
        <w:t xml:space="preserve">PIEMONTE </w:t>
      </w:r>
      <w:r w:rsidRPr="00BE68ED">
        <w:rPr>
          <w:rFonts w:cstheme="minorHAnsi"/>
          <w:b/>
          <w:bCs/>
          <w:sz w:val="20"/>
          <w:szCs w:val="20"/>
        </w:rPr>
        <w:t>(milioni di euro a prezzi costanti 2015)</w:t>
      </w:r>
    </w:p>
    <w:p w14:paraId="793B0E76" w14:textId="77777777" w:rsidR="00BE68ED" w:rsidRPr="00BE68ED" w:rsidRDefault="00BE68ED" w:rsidP="00D030F2">
      <w:pPr>
        <w:autoSpaceDE w:val="0"/>
        <w:autoSpaceDN w:val="0"/>
        <w:adjustRightInd w:val="0"/>
        <w:spacing w:after="0" w:line="240" w:lineRule="auto"/>
        <w:jc w:val="both"/>
        <w:rPr>
          <w:rFonts w:cstheme="minorHAnsi"/>
          <w:b/>
          <w:bCs/>
          <w:sz w:val="20"/>
          <w:szCs w:val="20"/>
        </w:rPr>
      </w:pPr>
    </w:p>
    <w:p w14:paraId="69A6BC13" w14:textId="77777777" w:rsidR="00501036" w:rsidRPr="00BE68ED" w:rsidRDefault="00501036" w:rsidP="00D030F2">
      <w:pPr>
        <w:autoSpaceDE w:val="0"/>
        <w:autoSpaceDN w:val="0"/>
        <w:adjustRightInd w:val="0"/>
        <w:spacing w:after="0" w:line="240" w:lineRule="auto"/>
        <w:jc w:val="both"/>
        <w:rPr>
          <w:rFonts w:cstheme="minorHAnsi"/>
          <w:b/>
          <w:bCs/>
          <w:color w:val="4F82BE"/>
          <w:sz w:val="20"/>
          <w:szCs w:val="20"/>
        </w:rPr>
      </w:pPr>
      <w:r w:rsidRPr="00BE68ED">
        <w:rPr>
          <w:rFonts w:cstheme="minorHAnsi"/>
          <w:noProof/>
          <w:lang w:eastAsia="it-IT"/>
        </w:rPr>
        <w:drawing>
          <wp:inline distT="0" distB="0" distL="0" distR="0" wp14:anchorId="2E1ECA4A" wp14:editId="6E433FD6">
            <wp:extent cx="5581650" cy="3248025"/>
            <wp:effectExtent l="0" t="0" r="0" b="9525"/>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8A24CE" w14:textId="77777777" w:rsidR="00D030F2" w:rsidRPr="00BE68ED" w:rsidRDefault="00D030F2" w:rsidP="00D030F2">
      <w:pPr>
        <w:autoSpaceDE w:val="0"/>
        <w:autoSpaceDN w:val="0"/>
        <w:adjustRightInd w:val="0"/>
        <w:spacing w:after="0" w:line="240" w:lineRule="auto"/>
        <w:jc w:val="both"/>
        <w:rPr>
          <w:rFonts w:cstheme="minorHAnsi"/>
          <w:color w:val="000000"/>
          <w:sz w:val="16"/>
          <w:szCs w:val="16"/>
        </w:rPr>
      </w:pPr>
      <w:r w:rsidRPr="00BE68ED">
        <w:rPr>
          <w:rFonts w:cstheme="minorHAnsi"/>
          <w:color w:val="000000"/>
          <w:sz w:val="16"/>
          <w:szCs w:val="16"/>
        </w:rPr>
        <w:t>Fonte: Sistema Conti Pubblici Territoriali</w:t>
      </w:r>
    </w:p>
    <w:p w14:paraId="1AB2CF00" w14:textId="77777777" w:rsidR="00D030F2" w:rsidRPr="00BE68ED" w:rsidRDefault="00D030F2" w:rsidP="00D030F2">
      <w:pPr>
        <w:autoSpaceDE w:val="0"/>
        <w:autoSpaceDN w:val="0"/>
        <w:adjustRightInd w:val="0"/>
        <w:spacing w:after="0" w:line="240" w:lineRule="auto"/>
        <w:jc w:val="both"/>
        <w:rPr>
          <w:rFonts w:cstheme="minorHAnsi"/>
          <w:color w:val="000000"/>
        </w:rPr>
      </w:pPr>
      <w:r w:rsidRPr="00BE68ED">
        <w:rPr>
          <w:rFonts w:cstheme="minorHAnsi"/>
          <w:color w:val="000000"/>
        </w:rPr>
        <w:lastRenderedPageBreak/>
        <w:t>Nel 20</w:t>
      </w:r>
      <w:r w:rsidR="00AB2575" w:rsidRPr="00BE68ED">
        <w:rPr>
          <w:rFonts w:cstheme="minorHAnsi"/>
          <w:color w:val="000000"/>
        </w:rPr>
        <w:t>20 l</w:t>
      </w:r>
      <w:r w:rsidRPr="00BE68ED">
        <w:rPr>
          <w:rFonts w:cstheme="minorHAnsi"/>
          <w:color w:val="000000"/>
        </w:rPr>
        <w:t xml:space="preserve">e entrate per abitante nella regione ammontano a </w:t>
      </w:r>
      <w:r w:rsidR="00AB2575" w:rsidRPr="00BE68ED">
        <w:rPr>
          <w:rFonts w:cstheme="minorHAnsi"/>
          <w:color w:val="000000"/>
        </w:rPr>
        <w:t>17.740</w:t>
      </w:r>
      <w:r w:rsidRPr="00BE68ED">
        <w:rPr>
          <w:rFonts w:cstheme="minorHAnsi"/>
          <w:color w:val="000000"/>
        </w:rPr>
        <w:t xml:space="preserve"> euro pro capite, con una </w:t>
      </w:r>
      <w:r w:rsidR="00AB2575" w:rsidRPr="00BE68ED">
        <w:rPr>
          <w:rFonts w:cstheme="minorHAnsi"/>
          <w:color w:val="000000"/>
        </w:rPr>
        <w:t>diminuzione del 7,9</w:t>
      </w:r>
      <w:r w:rsidRPr="00BE68ED">
        <w:rPr>
          <w:rFonts w:cstheme="minorHAnsi"/>
          <w:color w:val="000000"/>
        </w:rPr>
        <w:t xml:space="preserve"> per cento rispetto al 20</w:t>
      </w:r>
      <w:r w:rsidR="00AB2575" w:rsidRPr="00BE68ED">
        <w:rPr>
          <w:rFonts w:cstheme="minorHAnsi"/>
          <w:color w:val="000000"/>
        </w:rPr>
        <w:t>19</w:t>
      </w:r>
      <w:r w:rsidRPr="00BE68ED">
        <w:rPr>
          <w:rFonts w:cstheme="minorHAnsi"/>
          <w:color w:val="000000"/>
        </w:rPr>
        <w:t>. In Piemonte l’aggregato presenta un andamento simile a quello del Centro-Nord, dove nel</w:t>
      </w:r>
      <w:r w:rsidR="00AB2575" w:rsidRPr="00BE68ED">
        <w:rPr>
          <w:rFonts w:cstheme="minorHAnsi"/>
          <w:color w:val="000000"/>
        </w:rPr>
        <w:t>l’ultimo anno si assiste ad un de</w:t>
      </w:r>
      <w:r w:rsidRPr="00BE68ED">
        <w:rPr>
          <w:rFonts w:cstheme="minorHAnsi"/>
          <w:color w:val="000000"/>
        </w:rPr>
        <w:t xml:space="preserve">cremento </w:t>
      </w:r>
      <w:r w:rsidR="00AB2575" w:rsidRPr="00BE68ED">
        <w:rPr>
          <w:rFonts w:cstheme="minorHAnsi"/>
          <w:color w:val="000000"/>
        </w:rPr>
        <w:t>del 6,7</w:t>
      </w:r>
      <w:r w:rsidRPr="00BE68ED">
        <w:rPr>
          <w:rFonts w:cstheme="minorHAnsi"/>
          <w:color w:val="000000"/>
        </w:rPr>
        <w:t xml:space="preserve"> per cento, e valori costantemente inferiori a quelli della macro area di riferimento durante tutto il periodo considerato (cfr. Figura 4). In particolare, nell’ultimo anno le entrate per abitante nella macro area sono pari a </w:t>
      </w:r>
      <w:r w:rsidR="00AB2575" w:rsidRPr="00BE68ED">
        <w:rPr>
          <w:rFonts w:cstheme="minorHAnsi"/>
          <w:color w:val="000000"/>
        </w:rPr>
        <w:t>19.500</w:t>
      </w:r>
      <w:r w:rsidRPr="00BE68ED">
        <w:rPr>
          <w:rFonts w:cstheme="minorHAnsi"/>
          <w:color w:val="000000"/>
        </w:rPr>
        <w:t xml:space="preserve"> euro, mentre assumono un valore molto più basso nel Mezzogiorno (11.</w:t>
      </w:r>
      <w:r w:rsidR="00AB2575" w:rsidRPr="00BE68ED">
        <w:rPr>
          <w:rFonts w:cstheme="minorHAnsi"/>
          <w:color w:val="000000"/>
        </w:rPr>
        <w:t>188</w:t>
      </w:r>
      <w:r w:rsidRPr="00BE68ED">
        <w:rPr>
          <w:rFonts w:cstheme="minorHAnsi"/>
          <w:color w:val="000000"/>
        </w:rPr>
        <w:t xml:space="preserve"> euro pro capite).</w:t>
      </w:r>
    </w:p>
    <w:p w14:paraId="58BBF682" w14:textId="77777777" w:rsidR="00D030F2" w:rsidRPr="00BE68ED" w:rsidRDefault="00D030F2" w:rsidP="00D030F2">
      <w:pPr>
        <w:autoSpaceDE w:val="0"/>
        <w:autoSpaceDN w:val="0"/>
        <w:adjustRightInd w:val="0"/>
        <w:spacing w:after="0" w:line="240" w:lineRule="auto"/>
        <w:jc w:val="both"/>
        <w:rPr>
          <w:rFonts w:cstheme="minorHAnsi"/>
          <w:b/>
          <w:bCs/>
          <w:color w:val="4F82BE"/>
          <w:sz w:val="20"/>
          <w:szCs w:val="20"/>
        </w:rPr>
      </w:pPr>
    </w:p>
    <w:p w14:paraId="3DECCC51" w14:textId="77777777" w:rsidR="00D030F2" w:rsidRPr="00BE68ED" w:rsidRDefault="00D030F2" w:rsidP="00D030F2">
      <w:pPr>
        <w:autoSpaceDE w:val="0"/>
        <w:autoSpaceDN w:val="0"/>
        <w:adjustRightInd w:val="0"/>
        <w:spacing w:after="0" w:line="240" w:lineRule="auto"/>
        <w:jc w:val="both"/>
        <w:rPr>
          <w:rFonts w:cstheme="minorHAnsi"/>
          <w:b/>
          <w:bCs/>
          <w:color w:val="4F82BE"/>
          <w:sz w:val="20"/>
          <w:szCs w:val="20"/>
        </w:rPr>
      </w:pPr>
    </w:p>
    <w:p w14:paraId="40671944" w14:textId="77777777" w:rsidR="00D030F2" w:rsidRPr="0005097F" w:rsidRDefault="00D030F2" w:rsidP="00D030F2">
      <w:pPr>
        <w:autoSpaceDE w:val="0"/>
        <w:autoSpaceDN w:val="0"/>
        <w:adjustRightInd w:val="0"/>
        <w:spacing w:after="0" w:line="240" w:lineRule="auto"/>
        <w:jc w:val="both"/>
        <w:rPr>
          <w:rFonts w:cstheme="minorHAnsi"/>
          <w:b/>
          <w:bCs/>
          <w:sz w:val="20"/>
          <w:szCs w:val="20"/>
        </w:rPr>
      </w:pPr>
      <w:r w:rsidRPr="0005097F">
        <w:rPr>
          <w:rFonts w:cstheme="minorHAnsi"/>
          <w:b/>
          <w:bCs/>
          <w:sz w:val="20"/>
          <w:szCs w:val="20"/>
        </w:rPr>
        <w:t>Figura 4 SPA - ENTRATE TOTALI (euro pro capite costanti 2015)</w:t>
      </w:r>
    </w:p>
    <w:p w14:paraId="4E411760" w14:textId="77777777" w:rsidR="0005097F" w:rsidRPr="00BE68ED" w:rsidRDefault="0005097F" w:rsidP="00D030F2">
      <w:pPr>
        <w:autoSpaceDE w:val="0"/>
        <w:autoSpaceDN w:val="0"/>
        <w:adjustRightInd w:val="0"/>
        <w:spacing w:after="0" w:line="240" w:lineRule="auto"/>
        <w:jc w:val="both"/>
        <w:rPr>
          <w:rFonts w:cstheme="minorHAnsi"/>
          <w:b/>
          <w:bCs/>
          <w:color w:val="4F82BE"/>
          <w:sz w:val="20"/>
          <w:szCs w:val="20"/>
        </w:rPr>
      </w:pPr>
    </w:p>
    <w:p w14:paraId="322A9744" w14:textId="77777777" w:rsidR="00D030F2" w:rsidRPr="00BE68ED" w:rsidRDefault="00501036" w:rsidP="00D030F2">
      <w:pPr>
        <w:autoSpaceDE w:val="0"/>
        <w:autoSpaceDN w:val="0"/>
        <w:adjustRightInd w:val="0"/>
        <w:spacing w:after="0" w:line="240" w:lineRule="auto"/>
        <w:jc w:val="both"/>
        <w:rPr>
          <w:rFonts w:cstheme="minorHAnsi"/>
          <w:color w:val="000000"/>
          <w:sz w:val="16"/>
          <w:szCs w:val="16"/>
        </w:rPr>
      </w:pPr>
      <w:r w:rsidRPr="00BE68ED">
        <w:rPr>
          <w:rFonts w:cstheme="minorHAnsi"/>
          <w:noProof/>
          <w:lang w:eastAsia="it-IT"/>
        </w:rPr>
        <w:drawing>
          <wp:inline distT="0" distB="0" distL="0" distR="0" wp14:anchorId="24F4F579" wp14:editId="6479D8D4">
            <wp:extent cx="5934075" cy="3248025"/>
            <wp:effectExtent l="0" t="0" r="9525" b="9525"/>
            <wp:docPr id="4"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F9D9EE" w14:textId="77777777" w:rsidR="00D030F2" w:rsidRPr="00BE68ED" w:rsidRDefault="00D030F2" w:rsidP="00D030F2">
      <w:pPr>
        <w:autoSpaceDE w:val="0"/>
        <w:autoSpaceDN w:val="0"/>
        <w:adjustRightInd w:val="0"/>
        <w:spacing w:after="0" w:line="240" w:lineRule="auto"/>
        <w:jc w:val="both"/>
        <w:rPr>
          <w:rFonts w:cstheme="minorHAnsi"/>
          <w:color w:val="000000"/>
          <w:sz w:val="16"/>
          <w:szCs w:val="16"/>
        </w:rPr>
      </w:pPr>
    </w:p>
    <w:p w14:paraId="5A2A4B36" w14:textId="5FB33ADA" w:rsidR="00D030F2" w:rsidRPr="00BE68ED" w:rsidRDefault="00D030F2" w:rsidP="00D030F2">
      <w:pPr>
        <w:autoSpaceDE w:val="0"/>
        <w:autoSpaceDN w:val="0"/>
        <w:adjustRightInd w:val="0"/>
        <w:spacing w:after="0" w:line="240" w:lineRule="auto"/>
        <w:jc w:val="both"/>
        <w:rPr>
          <w:rFonts w:cstheme="minorHAnsi"/>
          <w:color w:val="000000"/>
          <w:sz w:val="16"/>
          <w:szCs w:val="16"/>
        </w:rPr>
      </w:pPr>
      <w:r w:rsidRPr="00BE68ED">
        <w:rPr>
          <w:rFonts w:cstheme="minorHAnsi"/>
          <w:color w:val="000000"/>
          <w:sz w:val="16"/>
          <w:szCs w:val="16"/>
        </w:rPr>
        <w:t>Fonte: Sistema Conti Pubblici Territoriali</w:t>
      </w:r>
      <w:r w:rsidR="00EE1071">
        <w:rPr>
          <w:rFonts w:cstheme="minorHAnsi"/>
          <w:color w:val="000000"/>
          <w:sz w:val="16"/>
          <w:szCs w:val="16"/>
        </w:rPr>
        <w:t xml:space="preserve"> e Istat</w:t>
      </w:r>
    </w:p>
    <w:p w14:paraId="239448F6" w14:textId="77777777" w:rsidR="00D030F2" w:rsidRPr="00BE68ED" w:rsidRDefault="00D030F2" w:rsidP="00D030F2">
      <w:pPr>
        <w:autoSpaceDE w:val="0"/>
        <w:autoSpaceDN w:val="0"/>
        <w:adjustRightInd w:val="0"/>
        <w:spacing w:after="0" w:line="240" w:lineRule="auto"/>
        <w:jc w:val="both"/>
        <w:rPr>
          <w:rFonts w:cstheme="minorHAnsi"/>
          <w:color w:val="000000"/>
        </w:rPr>
      </w:pPr>
    </w:p>
    <w:p w14:paraId="0ABFBFE4" w14:textId="77777777" w:rsidR="00D030F2" w:rsidRPr="00BE68ED" w:rsidRDefault="00D030F2" w:rsidP="00D030F2">
      <w:pPr>
        <w:autoSpaceDE w:val="0"/>
        <w:autoSpaceDN w:val="0"/>
        <w:adjustRightInd w:val="0"/>
        <w:spacing w:after="0" w:line="240" w:lineRule="auto"/>
        <w:jc w:val="both"/>
        <w:rPr>
          <w:rFonts w:cstheme="minorHAnsi"/>
          <w:color w:val="000000"/>
        </w:rPr>
      </w:pPr>
    </w:p>
    <w:p w14:paraId="79313BFB" w14:textId="77777777" w:rsidR="00D030F2" w:rsidRPr="00BE68ED" w:rsidRDefault="00D030F2" w:rsidP="00D030F2">
      <w:pPr>
        <w:autoSpaceDE w:val="0"/>
        <w:autoSpaceDN w:val="0"/>
        <w:adjustRightInd w:val="0"/>
        <w:spacing w:after="0" w:line="240" w:lineRule="auto"/>
        <w:jc w:val="both"/>
        <w:rPr>
          <w:rFonts w:cstheme="minorHAnsi"/>
          <w:color w:val="000000"/>
        </w:rPr>
      </w:pPr>
      <w:r w:rsidRPr="00BE68ED">
        <w:rPr>
          <w:rFonts w:cstheme="minorHAnsi"/>
          <w:color w:val="000000"/>
        </w:rPr>
        <w:t>Nel 20</w:t>
      </w:r>
      <w:r w:rsidR="00AB2575" w:rsidRPr="00BE68ED">
        <w:rPr>
          <w:rFonts w:cstheme="minorHAnsi"/>
          <w:color w:val="000000"/>
        </w:rPr>
        <w:t>20</w:t>
      </w:r>
      <w:r w:rsidRPr="00BE68ED">
        <w:rPr>
          <w:rFonts w:cstheme="minorHAnsi"/>
          <w:color w:val="000000"/>
        </w:rPr>
        <w:t>, in Piemonte, l’indicatore che rappresenta</w:t>
      </w:r>
      <w:r w:rsidR="0005097F">
        <w:rPr>
          <w:rFonts w:cstheme="minorHAnsi"/>
          <w:color w:val="000000"/>
        </w:rPr>
        <w:t xml:space="preserve"> i</w:t>
      </w:r>
      <w:r w:rsidRPr="00BE68ED">
        <w:rPr>
          <w:rFonts w:cstheme="minorHAnsi"/>
          <w:color w:val="000000"/>
        </w:rPr>
        <w:t xml:space="preserve"> tributi e contributi sociali, al lordo dei rimborsi, in rapporto al PIL è pari al </w:t>
      </w:r>
      <w:r w:rsidR="00AB2575" w:rsidRPr="00BE68ED">
        <w:rPr>
          <w:rFonts w:cstheme="minorHAnsi"/>
          <w:color w:val="000000"/>
        </w:rPr>
        <w:t>50,3</w:t>
      </w:r>
      <w:r w:rsidRPr="00BE68ED">
        <w:rPr>
          <w:rFonts w:cstheme="minorHAnsi"/>
          <w:color w:val="000000"/>
        </w:rPr>
        <w:t xml:space="preserve"> per cento</w:t>
      </w:r>
      <w:r w:rsidR="00AB2575" w:rsidRPr="00BE68ED">
        <w:rPr>
          <w:rFonts w:cstheme="minorHAnsi"/>
          <w:color w:val="000000"/>
        </w:rPr>
        <w:t>, valore più elevato dall’inizio della serie storica</w:t>
      </w:r>
      <w:r w:rsidRPr="00BE68ED">
        <w:rPr>
          <w:rFonts w:cstheme="minorHAnsi"/>
          <w:color w:val="000000"/>
        </w:rPr>
        <w:t xml:space="preserve"> (cfr. Figura 5).</w:t>
      </w:r>
      <w:r w:rsidR="00AB2575" w:rsidRPr="00BE68ED">
        <w:rPr>
          <w:rFonts w:cstheme="minorHAnsi"/>
          <w:color w:val="000000"/>
        </w:rPr>
        <w:t xml:space="preserve"> È da considerare tuttavia che a contribuire alla crescita dell’indicatore è soprattutto la diminuzione del PIL</w:t>
      </w:r>
      <w:r w:rsidRPr="00BE68ED">
        <w:rPr>
          <w:rFonts w:cstheme="minorHAnsi"/>
          <w:color w:val="000000"/>
        </w:rPr>
        <w:t>. Nella regione l’indicatore si attesta su un livello più elevato rispetto ad entrambe le macro aree (nel 20</w:t>
      </w:r>
      <w:r w:rsidR="00AB2575" w:rsidRPr="00BE68ED">
        <w:rPr>
          <w:rFonts w:cstheme="minorHAnsi"/>
          <w:color w:val="000000"/>
        </w:rPr>
        <w:t>20</w:t>
      </w:r>
      <w:r w:rsidRPr="00BE68ED">
        <w:rPr>
          <w:rFonts w:cstheme="minorHAnsi"/>
          <w:color w:val="000000"/>
        </w:rPr>
        <w:t xml:space="preserve">, </w:t>
      </w:r>
      <w:r w:rsidR="00AB2575" w:rsidRPr="00BE68ED">
        <w:rPr>
          <w:rFonts w:cstheme="minorHAnsi"/>
          <w:color w:val="000000"/>
        </w:rPr>
        <w:t>47,6</w:t>
      </w:r>
      <w:r w:rsidRPr="00BE68ED">
        <w:rPr>
          <w:rFonts w:cstheme="minorHAnsi"/>
          <w:color w:val="000000"/>
        </w:rPr>
        <w:t xml:space="preserve"> per cento nel Centro-Nord e </w:t>
      </w:r>
      <w:r w:rsidR="00AB2575" w:rsidRPr="00BE68ED">
        <w:rPr>
          <w:rFonts w:cstheme="minorHAnsi"/>
          <w:color w:val="000000"/>
        </w:rPr>
        <w:t>48,9</w:t>
      </w:r>
      <w:r w:rsidRPr="00BE68ED">
        <w:rPr>
          <w:rFonts w:cstheme="minorHAnsi"/>
          <w:color w:val="000000"/>
        </w:rPr>
        <w:t xml:space="preserve"> per cento nel Mezzogiorno).</w:t>
      </w:r>
    </w:p>
    <w:p w14:paraId="70D70830" w14:textId="77777777" w:rsidR="00D030F2" w:rsidRPr="00BE68ED" w:rsidRDefault="00D030F2" w:rsidP="00D030F2">
      <w:pPr>
        <w:autoSpaceDE w:val="0"/>
        <w:autoSpaceDN w:val="0"/>
        <w:adjustRightInd w:val="0"/>
        <w:spacing w:after="0" w:line="240" w:lineRule="auto"/>
        <w:jc w:val="both"/>
        <w:rPr>
          <w:rFonts w:cstheme="minorHAnsi"/>
          <w:b/>
          <w:bCs/>
          <w:color w:val="4F82BE"/>
          <w:sz w:val="20"/>
          <w:szCs w:val="20"/>
        </w:rPr>
      </w:pPr>
    </w:p>
    <w:p w14:paraId="04620AF5" w14:textId="77777777" w:rsidR="00D030F2" w:rsidRPr="00BE68ED" w:rsidRDefault="00D030F2" w:rsidP="00D030F2">
      <w:pPr>
        <w:autoSpaceDE w:val="0"/>
        <w:autoSpaceDN w:val="0"/>
        <w:adjustRightInd w:val="0"/>
        <w:spacing w:after="0" w:line="240" w:lineRule="auto"/>
        <w:jc w:val="both"/>
        <w:rPr>
          <w:rFonts w:cstheme="minorHAnsi"/>
          <w:b/>
          <w:bCs/>
          <w:color w:val="4F82BE"/>
          <w:sz w:val="20"/>
          <w:szCs w:val="20"/>
        </w:rPr>
      </w:pPr>
    </w:p>
    <w:p w14:paraId="404B13AC" w14:textId="77777777" w:rsidR="00D030F2" w:rsidRPr="004F27FD" w:rsidRDefault="00D030F2" w:rsidP="00D030F2">
      <w:pPr>
        <w:autoSpaceDE w:val="0"/>
        <w:autoSpaceDN w:val="0"/>
        <w:adjustRightInd w:val="0"/>
        <w:spacing w:after="0" w:line="240" w:lineRule="auto"/>
        <w:jc w:val="both"/>
        <w:rPr>
          <w:rFonts w:cstheme="minorHAnsi"/>
          <w:b/>
          <w:bCs/>
          <w:sz w:val="20"/>
          <w:szCs w:val="20"/>
        </w:rPr>
      </w:pPr>
      <w:r w:rsidRPr="004F27FD">
        <w:rPr>
          <w:rFonts w:cstheme="minorHAnsi"/>
          <w:b/>
          <w:bCs/>
          <w:sz w:val="20"/>
          <w:szCs w:val="20"/>
        </w:rPr>
        <w:t>Figura 5</w:t>
      </w:r>
      <w:r w:rsidR="004F27FD">
        <w:rPr>
          <w:rFonts w:cstheme="minorHAnsi"/>
          <w:b/>
          <w:bCs/>
          <w:sz w:val="20"/>
          <w:szCs w:val="20"/>
        </w:rPr>
        <w:t>.</w:t>
      </w:r>
      <w:r w:rsidRPr="004F27FD">
        <w:rPr>
          <w:rFonts w:cstheme="minorHAnsi"/>
          <w:b/>
          <w:bCs/>
          <w:sz w:val="20"/>
          <w:szCs w:val="20"/>
        </w:rPr>
        <w:t xml:space="preserve"> SPA - TRIBUTI E CONTRIBUTI SOCIALI SU PIL (valori percentuali)</w:t>
      </w:r>
    </w:p>
    <w:p w14:paraId="1B3E8FF1" w14:textId="77777777" w:rsidR="00D030F2" w:rsidRPr="00BE68ED" w:rsidRDefault="00501036" w:rsidP="004F27FD">
      <w:pPr>
        <w:autoSpaceDE w:val="0"/>
        <w:autoSpaceDN w:val="0"/>
        <w:adjustRightInd w:val="0"/>
        <w:spacing w:after="0" w:line="240" w:lineRule="auto"/>
        <w:jc w:val="center"/>
        <w:rPr>
          <w:rFonts w:cstheme="minorHAnsi"/>
          <w:color w:val="000000"/>
          <w:sz w:val="17"/>
          <w:szCs w:val="17"/>
        </w:rPr>
      </w:pPr>
      <w:r w:rsidRPr="00BE68ED">
        <w:rPr>
          <w:rFonts w:cstheme="minorHAnsi"/>
          <w:noProof/>
          <w:lang w:eastAsia="it-IT"/>
        </w:rPr>
        <w:lastRenderedPageBreak/>
        <w:drawing>
          <wp:inline distT="0" distB="0" distL="0" distR="0" wp14:anchorId="31802DDC" wp14:editId="1D6C1988">
            <wp:extent cx="4572000" cy="2743200"/>
            <wp:effectExtent l="0" t="0" r="0" b="0"/>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24DDF4" w14:textId="77777777" w:rsidR="00D030F2" w:rsidRPr="00BE68ED" w:rsidRDefault="00D030F2" w:rsidP="00D030F2">
      <w:pPr>
        <w:autoSpaceDE w:val="0"/>
        <w:autoSpaceDN w:val="0"/>
        <w:adjustRightInd w:val="0"/>
        <w:spacing w:after="0" w:line="240" w:lineRule="auto"/>
        <w:jc w:val="both"/>
        <w:rPr>
          <w:rFonts w:cstheme="minorHAnsi"/>
          <w:color w:val="000000"/>
          <w:sz w:val="17"/>
          <w:szCs w:val="17"/>
        </w:rPr>
      </w:pPr>
      <w:r w:rsidRPr="00BE68ED">
        <w:rPr>
          <w:rFonts w:cstheme="minorHAnsi"/>
          <w:color w:val="000000"/>
          <w:sz w:val="17"/>
          <w:szCs w:val="17"/>
        </w:rPr>
        <w:t>Fonte: Sistema Conti Pubblici Territoriali e Istat</w:t>
      </w:r>
    </w:p>
    <w:p w14:paraId="0363A579" w14:textId="77777777" w:rsidR="00684E2B" w:rsidRPr="00BE68ED" w:rsidRDefault="00684E2B" w:rsidP="00D030F2">
      <w:pPr>
        <w:autoSpaceDE w:val="0"/>
        <w:autoSpaceDN w:val="0"/>
        <w:adjustRightInd w:val="0"/>
        <w:spacing w:after="0" w:line="240" w:lineRule="auto"/>
        <w:jc w:val="both"/>
        <w:rPr>
          <w:rFonts w:cstheme="minorHAnsi"/>
          <w:color w:val="000000"/>
          <w:sz w:val="17"/>
          <w:szCs w:val="17"/>
        </w:rPr>
      </w:pPr>
    </w:p>
    <w:p w14:paraId="20CFBF8B" w14:textId="77777777" w:rsidR="00684E2B" w:rsidRPr="00BE68ED" w:rsidRDefault="00684E2B" w:rsidP="00D030F2">
      <w:pPr>
        <w:autoSpaceDE w:val="0"/>
        <w:autoSpaceDN w:val="0"/>
        <w:adjustRightInd w:val="0"/>
        <w:spacing w:after="0" w:line="240" w:lineRule="auto"/>
        <w:jc w:val="both"/>
        <w:rPr>
          <w:rFonts w:cstheme="minorHAnsi"/>
          <w:color w:val="000000"/>
          <w:sz w:val="17"/>
          <w:szCs w:val="17"/>
        </w:rPr>
      </w:pPr>
    </w:p>
    <w:p w14:paraId="5CF3EDE5" w14:textId="77777777" w:rsidR="00684E2B" w:rsidRPr="00BE68ED" w:rsidRDefault="00684E2B" w:rsidP="00D030F2">
      <w:pPr>
        <w:autoSpaceDE w:val="0"/>
        <w:autoSpaceDN w:val="0"/>
        <w:adjustRightInd w:val="0"/>
        <w:spacing w:after="0" w:line="240" w:lineRule="auto"/>
        <w:jc w:val="both"/>
        <w:rPr>
          <w:rFonts w:cstheme="minorHAnsi"/>
          <w:color w:val="000000"/>
        </w:rPr>
      </w:pPr>
      <w:r w:rsidRPr="00BE68ED">
        <w:rPr>
          <w:rFonts w:cstheme="minorHAnsi"/>
          <w:color w:val="000000"/>
        </w:rPr>
        <w:t xml:space="preserve">I tre grafici che seguono riportano il dettaglio delle </w:t>
      </w:r>
      <w:r w:rsidR="004F27FD">
        <w:rPr>
          <w:rFonts w:cstheme="minorHAnsi"/>
          <w:color w:val="000000"/>
        </w:rPr>
        <w:t>imposte</w:t>
      </w:r>
      <w:r w:rsidRPr="00BE68ED">
        <w:rPr>
          <w:rFonts w:cstheme="minorHAnsi"/>
          <w:color w:val="000000"/>
        </w:rPr>
        <w:t xml:space="preserve"> dirette, indirette e altri tributi </w:t>
      </w:r>
      <w:r w:rsidR="004F27FD">
        <w:rPr>
          <w:rFonts w:cstheme="minorHAnsi"/>
          <w:color w:val="000000"/>
        </w:rPr>
        <w:t xml:space="preserve">a valori </w:t>
      </w:r>
      <w:r w:rsidRPr="00BE68ED">
        <w:rPr>
          <w:rFonts w:cstheme="minorHAnsi"/>
          <w:color w:val="000000"/>
        </w:rPr>
        <w:t>pro capite in Piemonte e nelle ripartizioni.</w:t>
      </w:r>
    </w:p>
    <w:p w14:paraId="14FA3F17" w14:textId="40197ADF" w:rsidR="00684E2B" w:rsidRPr="00BE68ED" w:rsidRDefault="00684E2B" w:rsidP="00D030F2">
      <w:pPr>
        <w:autoSpaceDE w:val="0"/>
        <w:autoSpaceDN w:val="0"/>
        <w:adjustRightInd w:val="0"/>
        <w:spacing w:after="0" w:line="240" w:lineRule="auto"/>
        <w:jc w:val="both"/>
        <w:rPr>
          <w:rFonts w:cstheme="minorHAnsi"/>
          <w:color w:val="000000"/>
        </w:rPr>
      </w:pPr>
      <w:r w:rsidRPr="00BE68ED">
        <w:rPr>
          <w:rFonts w:cstheme="minorHAnsi"/>
          <w:color w:val="000000"/>
        </w:rPr>
        <w:t xml:space="preserve">Per quanto riguarda le </w:t>
      </w:r>
      <w:r w:rsidR="004F27FD">
        <w:rPr>
          <w:rFonts w:cstheme="minorHAnsi"/>
          <w:color w:val="000000"/>
        </w:rPr>
        <w:t>imposte</w:t>
      </w:r>
      <w:r w:rsidR="00926B71">
        <w:rPr>
          <w:rFonts w:cstheme="minorHAnsi"/>
          <w:color w:val="000000"/>
        </w:rPr>
        <w:t xml:space="preserve"> dirette</w:t>
      </w:r>
      <w:r w:rsidRPr="00BE68ED">
        <w:rPr>
          <w:rFonts w:cstheme="minorHAnsi"/>
          <w:color w:val="000000"/>
        </w:rPr>
        <w:t xml:space="preserve"> in Piemonte </w:t>
      </w:r>
      <w:r w:rsidR="00576300">
        <w:rPr>
          <w:rFonts w:cstheme="minorHAnsi"/>
          <w:color w:val="000000"/>
        </w:rPr>
        <w:t xml:space="preserve">(cfr. Figura 6) </w:t>
      </w:r>
      <w:r w:rsidRPr="00BE68ED">
        <w:rPr>
          <w:rFonts w:cstheme="minorHAnsi"/>
          <w:color w:val="000000"/>
        </w:rPr>
        <w:t xml:space="preserve">si assiste a partire dal 2014 alla convergenza con il dato della ripartizione del Centro-Nord. </w:t>
      </w:r>
      <w:r w:rsidR="00C879BE" w:rsidRPr="00BE68ED">
        <w:rPr>
          <w:rFonts w:cstheme="minorHAnsi"/>
          <w:color w:val="000000"/>
        </w:rPr>
        <w:t>Nel</w:t>
      </w:r>
      <w:r w:rsidRPr="00BE68ED">
        <w:rPr>
          <w:rFonts w:cstheme="minorHAnsi"/>
          <w:color w:val="000000"/>
        </w:rPr>
        <w:t xml:space="preserve"> Mez</w:t>
      </w:r>
      <w:r w:rsidR="00C879BE" w:rsidRPr="00BE68ED">
        <w:rPr>
          <w:rFonts w:cstheme="minorHAnsi"/>
          <w:color w:val="000000"/>
        </w:rPr>
        <w:t>zogiorno, in termini pro capite, il livello è circa la metà, nonostante si assista nel periodo un costante aumento, seppur lieve.</w:t>
      </w:r>
    </w:p>
    <w:p w14:paraId="5F53011D" w14:textId="77777777" w:rsidR="00EC21DC" w:rsidRDefault="00EC21DC" w:rsidP="00D030F2">
      <w:pPr>
        <w:autoSpaceDE w:val="0"/>
        <w:autoSpaceDN w:val="0"/>
        <w:adjustRightInd w:val="0"/>
        <w:spacing w:after="0" w:line="240" w:lineRule="auto"/>
        <w:jc w:val="both"/>
        <w:rPr>
          <w:rFonts w:cstheme="minorHAnsi"/>
          <w:color w:val="000000"/>
        </w:rPr>
      </w:pPr>
    </w:p>
    <w:p w14:paraId="0E5E9260" w14:textId="77777777" w:rsidR="004F27FD" w:rsidRDefault="004F27FD" w:rsidP="00D030F2">
      <w:pPr>
        <w:autoSpaceDE w:val="0"/>
        <w:autoSpaceDN w:val="0"/>
        <w:adjustRightInd w:val="0"/>
        <w:spacing w:after="0" w:line="240" w:lineRule="auto"/>
        <w:jc w:val="both"/>
        <w:rPr>
          <w:rFonts w:cstheme="minorHAnsi"/>
          <w:color w:val="000000"/>
        </w:rPr>
      </w:pPr>
    </w:p>
    <w:p w14:paraId="5D22225F" w14:textId="77777777" w:rsidR="004F27FD" w:rsidRPr="0005097F" w:rsidRDefault="004F27FD" w:rsidP="004F27FD">
      <w:pPr>
        <w:autoSpaceDE w:val="0"/>
        <w:autoSpaceDN w:val="0"/>
        <w:adjustRightInd w:val="0"/>
        <w:spacing w:after="0" w:line="240" w:lineRule="auto"/>
        <w:jc w:val="both"/>
        <w:rPr>
          <w:rFonts w:cstheme="minorHAnsi"/>
          <w:b/>
          <w:bCs/>
          <w:sz w:val="20"/>
          <w:szCs w:val="20"/>
        </w:rPr>
      </w:pPr>
      <w:r>
        <w:rPr>
          <w:rFonts w:cstheme="minorHAnsi"/>
          <w:b/>
          <w:bCs/>
          <w:sz w:val="20"/>
          <w:szCs w:val="20"/>
        </w:rPr>
        <w:t xml:space="preserve">Figura </w:t>
      </w:r>
      <w:r w:rsidR="0026110E">
        <w:rPr>
          <w:rFonts w:cstheme="minorHAnsi"/>
          <w:b/>
          <w:bCs/>
          <w:sz w:val="20"/>
          <w:szCs w:val="20"/>
        </w:rPr>
        <w:t>6.</w:t>
      </w:r>
      <w:r w:rsidRPr="0005097F">
        <w:rPr>
          <w:rFonts w:cstheme="minorHAnsi"/>
          <w:b/>
          <w:bCs/>
          <w:sz w:val="20"/>
          <w:szCs w:val="20"/>
        </w:rPr>
        <w:t xml:space="preserve"> SPA </w:t>
      </w:r>
      <w:r>
        <w:rPr>
          <w:rFonts w:cstheme="minorHAnsi"/>
          <w:b/>
          <w:bCs/>
          <w:sz w:val="20"/>
          <w:szCs w:val="20"/>
        </w:rPr>
        <w:t>–</w:t>
      </w:r>
      <w:r w:rsidRPr="0005097F">
        <w:rPr>
          <w:rFonts w:cstheme="minorHAnsi"/>
          <w:b/>
          <w:bCs/>
          <w:sz w:val="20"/>
          <w:szCs w:val="20"/>
        </w:rPr>
        <w:t xml:space="preserve"> </w:t>
      </w:r>
      <w:r>
        <w:rPr>
          <w:rFonts w:cstheme="minorHAnsi"/>
          <w:b/>
          <w:bCs/>
          <w:sz w:val="20"/>
          <w:szCs w:val="20"/>
        </w:rPr>
        <w:t>IMPOSTE DIRETTE</w:t>
      </w:r>
      <w:r w:rsidRPr="0005097F">
        <w:rPr>
          <w:rFonts w:cstheme="minorHAnsi"/>
          <w:b/>
          <w:bCs/>
          <w:sz w:val="20"/>
          <w:szCs w:val="20"/>
        </w:rPr>
        <w:t xml:space="preserve"> (euro pro capite costanti 2015)</w:t>
      </w:r>
    </w:p>
    <w:p w14:paraId="018D8AE1" w14:textId="77777777" w:rsidR="004F27FD" w:rsidRDefault="00684E2B" w:rsidP="004F27FD">
      <w:pPr>
        <w:autoSpaceDE w:val="0"/>
        <w:autoSpaceDN w:val="0"/>
        <w:adjustRightInd w:val="0"/>
        <w:spacing w:after="0" w:line="240" w:lineRule="auto"/>
        <w:jc w:val="center"/>
        <w:rPr>
          <w:rFonts w:cstheme="minorHAnsi"/>
          <w:color w:val="000000"/>
          <w:sz w:val="17"/>
          <w:szCs w:val="17"/>
        </w:rPr>
      </w:pPr>
      <w:r w:rsidRPr="00BE68ED">
        <w:rPr>
          <w:rFonts w:cstheme="minorHAnsi"/>
          <w:noProof/>
          <w:lang w:eastAsia="it-IT"/>
        </w:rPr>
        <w:drawing>
          <wp:inline distT="0" distB="0" distL="0" distR="0" wp14:anchorId="571C2A41" wp14:editId="6E8DF420">
            <wp:extent cx="4572000" cy="2743200"/>
            <wp:effectExtent l="0" t="0" r="0" b="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159096" w14:textId="77777777" w:rsidR="004F27FD" w:rsidRDefault="004F27FD" w:rsidP="004F27FD">
      <w:pPr>
        <w:autoSpaceDE w:val="0"/>
        <w:autoSpaceDN w:val="0"/>
        <w:adjustRightInd w:val="0"/>
        <w:spacing w:after="0" w:line="240" w:lineRule="auto"/>
        <w:jc w:val="center"/>
        <w:rPr>
          <w:rFonts w:cstheme="minorHAnsi"/>
          <w:color w:val="000000"/>
          <w:sz w:val="17"/>
          <w:szCs w:val="17"/>
        </w:rPr>
      </w:pPr>
    </w:p>
    <w:p w14:paraId="1A03010C" w14:textId="77777777" w:rsidR="00576300" w:rsidRPr="00BE68ED" w:rsidRDefault="00576300" w:rsidP="00576300">
      <w:pPr>
        <w:autoSpaceDE w:val="0"/>
        <w:autoSpaceDN w:val="0"/>
        <w:adjustRightInd w:val="0"/>
        <w:spacing w:after="0" w:line="240" w:lineRule="auto"/>
        <w:jc w:val="both"/>
        <w:rPr>
          <w:rFonts w:cstheme="minorHAnsi"/>
          <w:color w:val="000000"/>
          <w:sz w:val="17"/>
          <w:szCs w:val="17"/>
        </w:rPr>
      </w:pPr>
      <w:r w:rsidRPr="00BE68ED">
        <w:rPr>
          <w:rFonts w:cstheme="minorHAnsi"/>
          <w:color w:val="000000"/>
          <w:sz w:val="17"/>
          <w:szCs w:val="17"/>
        </w:rPr>
        <w:t>Fonte: Sistema Conti Pubblici Territoriali e Istat</w:t>
      </w:r>
    </w:p>
    <w:p w14:paraId="0C58A2D6"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3F6BB0A4" w14:textId="77777777" w:rsidR="00465511" w:rsidRDefault="00465511" w:rsidP="004F27FD">
      <w:pPr>
        <w:autoSpaceDE w:val="0"/>
        <w:autoSpaceDN w:val="0"/>
        <w:adjustRightInd w:val="0"/>
        <w:spacing w:after="0" w:line="240" w:lineRule="auto"/>
        <w:jc w:val="both"/>
        <w:rPr>
          <w:rFonts w:cstheme="minorHAnsi"/>
          <w:color w:val="000000"/>
        </w:rPr>
      </w:pPr>
    </w:p>
    <w:p w14:paraId="21644AF3" w14:textId="462F4486" w:rsidR="004F27FD" w:rsidRPr="00BE68ED" w:rsidRDefault="004F27FD" w:rsidP="004F27FD">
      <w:pPr>
        <w:autoSpaceDE w:val="0"/>
        <w:autoSpaceDN w:val="0"/>
        <w:adjustRightInd w:val="0"/>
        <w:spacing w:after="0" w:line="240" w:lineRule="auto"/>
        <w:jc w:val="both"/>
        <w:rPr>
          <w:rFonts w:cstheme="minorHAnsi"/>
          <w:color w:val="000000"/>
        </w:rPr>
      </w:pPr>
      <w:r w:rsidRPr="00BE68ED">
        <w:rPr>
          <w:rFonts w:cstheme="minorHAnsi"/>
          <w:color w:val="000000"/>
        </w:rPr>
        <w:t xml:space="preserve">Le entrate indirette </w:t>
      </w:r>
      <w:r w:rsidR="00576300">
        <w:rPr>
          <w:rFonts w:cstheme="minorHAnsi"/>
          <w:color w:val="000000"/>
        </w:rPr>
        <w:t xml:space="preserve">(cfr. Figura 7) </w:t>
      </w:r>
      <w:r w:rsidRPr="00BE68ED">
        <w:rPr>
          <w:rFonts w:cstheme="minorHAnsi"/>
          <w:color w:val="000000"/>
        </w:rPr>
        <w:t>sono la categoria che ha più risentito del blocco delle attività economiche nel 2020. In Piemonte nell’ultimo anno della serie queste diminuiscono di circa il 12 per cento, in linea con la ripartizione del Centro-Nord. Nelle regioni del Mezzogiorno la diminuzione è più contenuta, di poco inferiore al 10 per cento.</w:t>
      </w:r>
    </w:p>
    <w:p w14:paraId="1F9C1376"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41A35EC6"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3377A1A8"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0F8167B3"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7274044F"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67D63312"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1F723ACB" w14:textId="77777777" w:rsidR="004F27FD" w:rsidRPr="0005097F" w:rsidRDefault="004F27FD" w:rsidP="004F27FD">
      <w:pPr>
        <w:autoSpaceDE w:val="0"/>
        <w:autoSpaceDN w:val="0"/>
        <w:adjustRightInd w:val="0"/>
        <w:spacing w:after="0" w:line="240" w:lineRule="auto"/>
        <w:jc w:val="both"/>
        <w:rPr>
          <w:rFonts w:cstheme="minorHAnsi"/>
          <w:b/>
          <w:bCs/>
          <w:sz w:val="20"/>
          <w:szCs w:val="20"/>
        </w:rPr>
      </w:pPr>
      <w:r>
        <w:rPr>
          <w:rFonts w:cstheme="minorHAnsi"/>
          <w:b/>
          <w:bCs/>
          <w:sz w:val="20"/>
          <w:szCs w:val="20"/>
        </w:rPr>
        <w:t>Figura</w:t>
      </w:r>
      <w:r w:rsidR="0026110E">
        <w:rPr>
          <w:rFonts w:cstheme="minorHAnsi"/>
          <w:b/>
          <w:bCs/>
          <w:sz w:val="20"/>
          <w:szCs w:val="20"/>
        </w:rPr>
        <w:t xml:space="preserve"> 7.</w:t>
      </w:r>
      <w:r w:rsidRPr="0005097F">
        <w:rPr>
          <w:rFonts w:cstheme="minorHAnsi"/>
          <w:b/>
          <w:bCs/>
          <w:sz w:val="20"/>
          <w:szCs w:val="20"/>
        </w:rPr>
        <w:t xml:space="preserve"> SPA </w:t>
      </w:r>
      <w:r>
        <w:rPr>
          <w:rFonts w:cstheme="minorHAnsi"/>
          <w:b/>
          <w:bCs/>
          <w:sz w:val="20"/>
          <w:szCs w:val="20"/>
        </w:rPr>
        <w:t>–</w:t>
      </w:r>
      <w:r w:rsidRPr="0005097F">
        <w:rPr>
          <w:rFonts w:cstheme="minorHAnsi"/>
          <w:b/>
          <w:bCs/>
          <w:sz w:val="20"/>
          <w:szCs w:val="20"/>
        </w:rPr>
        <w:t xml:space="preserve"> </w:t>
      </w:r>
      <w:r>
        <w:rPr>
          <w:rFonts w:cstheme="minorHAnsi"/>
          <w:b/>
          <w:bCs/>
          <w:sz w:val="20"/>
          <w:szCs w:val="20"/>
        </w:rPr>
        <w:t>IMPOSTE INDIRETTE</w:t>
      </w:r>
      <w:r w:rsidRPr="0005097F">
        <w:rPr>
          <w:rFonts w:cstheme="minorHAnsi"/>
          <w:b/>
          <w:bCs/>
          <w:sz w:val="20"/>
          <w:szCs w:val="20"/>
        </w:rPr>
        <w:t xml:space="preserve"> (euro pro capite costanti 2015)</w:t>
      </w:r>
    </w:p>
    <w:p w14:paraId="7C463DE2"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2DC0F386"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5E4B2F39" w14:textId="77777777" w:rsidR="004F27FD" w:rsidRDefault="00684E2B" w:rsidP="004F27FD">
      <w:pPr>
        <w:autoSpaceDE w:val="0"/>
        <w:autoSpaceDN w:val="0"/>
        <w:adjustRightInd w:val="0"/>
        <w:spacing w:after="0" w:line="240" w:lineRule="auto"/>
        <w:jc w:val="center"/>
        <w:rPr>
          <w:rFonts w:cstheme="minorHAnsi"/>
          <w:color w:val="000000"/>
          <w:sz w:val="17"/>
          <w:szCs w:val="17"/>
        </w:rPr>
      </w:pPr>
      <w:r w:rsidRPr="00BE68ED">
        <w:rPr>
          <w:rFonts w:cstheme="minorHAnsi"/>
          <w:noProof/>
          <w:lang w:eastAsia="it-IT"/>
        </w:rPr>
        <w:drawing>
          <wp:inline distT="0" distB="0" distL="0" distR="0" wp14:anchorId="56DB5AC5" wp14:editId="38362E2E">
            <wp:extent cx="4572000" cy="2743200"/>
            <wp:effectExtent l="0" t="0" r="0" b="0"/>
            <wp:docPr id="7"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5F8BDB"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004BE9CD" w14:textId="77777777" w:rsidR="00576300" w:rsidRPr="00BE68ED" w:rsidRDefault="00576300" w:rsidP="00576300">
      <w:pPr>
        <w:autoSpaceDE w:val="0"/>
        <w:autoSpaceDN w:val="0"/>
        <w:adjustRightInd w:val="0"/>
        <w:spacing w:after="0" w:line="240" w:lineRule="auto"/>
        <w:jc w:val="both"/>
        <w:rPr>
          <w:rFonts w:cstheme="minorHAnsi"/>
          <w:color w:val="000000"/>
          <w:sz w:val="17"/>
          <w:szCs w:val="17"/>
        </w:rPr>
      </w:pPr>
      <w:r w:rsidRPr="00BE68ED">
        <w:rPr>
          <w:rFonts w:cstheme="minorHAnsi"/>
          <w:color w:val="000000"/>
          <w:sz w:val="17"/>
          <w:szCs w:val="17"/>
        </w:rPr>
        <w:t>Fonte: Sistema Conti Pubblici Territoriali e Istat</w:t>
      </w:r>
    </w:p>
    <w:p w14:paraId="3D85047C"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3309DE2B"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1C9CD849" w14:textId="32E29940" w:rsidR="004F27FD" w:rsidRPr="00BE68ED" w:rsidRDefault="004F27FD" w:rsidP="004F27FD">
      <w:pPr>
        <w:autoSpaceDE w:val="0"/>
        <w:autoSpaceDN w:val="0"/>
        <w:adjustRightInd w:val="0"/>
        <w:spacing w:after="0" w:line="240" w:lineRule="auto"/>
        <w:jc w:val="both"/>
        <w:rPr>
          <w:rFonts w:cstheme="minorHAnsi"/>
          <w:color w:val="000000"/>
        </w:rPr>
      </w:pPr>
      <w:r w:rsidRPr="00BE68ED">
        <w:rPr>
          <w:rFonts w:cstheme="minorHAnsi"/>
          <w:color w:val="000000"/>
        </w:rPr>
        <w:t>Gli altri tributi propri</w:t>
      </w:r>
      <w:r w:rsidR="00576300">
        <w:rPr>
          <w:rFonts w:cstheme="minorHAnsi"/>
          <w:color w:val="000000"/>
        </w:rPr>
        <w:t xml:space="preserve"> (cfr. Figura 8)</w:t>
      </w:r>
      <w:r w:rsidRPr="00BE68ED">
        <w:rPr>
          <w:rFonts w:cstheme="minorHAnsi"/>
          <w:color w:val="000000"/>
        </w:rPr>
        <w:t xml:space="preserve"> hanno invece una dinamica meno lineare nel tempo. Per tutte le ripartizioni i livelli pro capite sono bassi fino al 2010, ma raggiungono un massimo nel 2014, per andarsi a stabilizzare su livelli più intermedi nell’ultima parte della serie storica.</w:t>
      </w:r>
    </w:p>
    <w:p w14:paraId="482238FE"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63F14542"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39FADEC7" w14:textId="77777777" w:rsidR="00465511" w:rsidRPr="0005097F" w:rsidRDefault="00465511" w:rsidP="00465511">
      <w:pPr>
        <w:autoSpaceDE w:val="0"/>
        <w:autoSpaceDN w:val="0"/>
        <w:adjustRightInd w:val="0"/>
        <w:spacing w:after="0" w:line="240" w:lineRule="auto"/>
        <w:jc w:val="both"/>
        <w:rPr>
          <w:rFonts w:cstheme="minorHAnsi"/>
          <w:b/>
          <w:bCs/>
          <w:sz w:val="20"/>
          <w:szCs w:val="20"/>
        </w:rPr>
      </w:pPr>
      <w:r>
        <w:rPr>
          <w:rFonts w:cstheme="minorHAnsi"/>
          <w:b/>
          <w:bCs/>
          <w:sz w:val="20"/>
          <w:szCs w:val="20"/>
        </w:rPr>
        <w:t xml:space="preserve">Figura </w:t>
      </w:r>
      <w:r w:rsidR="0026110E">
        <w:rPr>
          <w:rFonts w:cstheme="minorHAnsi"/>
          <w:b/>
          <w:bCs/>
          <w:sz w:val="20"/>
          <w:szCs w:val="20"/>
        </w:rPr>
        <w:t>8.</w:t>
      </w:r>
      <w:r w:rsidRPr="0005097F">
        <w:rPr>
          <w:rFonts w:cstheme="minorHAnsi"/>
          <w:b/>
          <w:bCs/>
          <w:sz w:val="20"/>
          <w:szCs w:val="20"/>
        </w:rPr>
        <w:t xml:space="preserve"> SPA </w:t>
      </w:r>
      <w:r>
        <w:rPr>
          <w:rFonts w:cstheme="minorHAnsi"/>
          <w:b/>
          <w:bCs/>
          <w:sz w:val="20"/>
          <w:szCs w:val="20"/>
        </w:rPr>
        <w:t>–</w:t>
      </w:r>
      <w:r w:rsidRPr="0005097F">
        <w:rPr>
          <w:rFonts w:cstheme="minorHAnsi"/>
          <w:b/>
          <w:bCs/>
          <w:sz w:val="20"/>
          <w:szCs w:val="20"/>
        </w:rPr>
        <w:t xml:space="preserve"> </w:t>
      </w:r>
      <w:r>
        <w:rPr>
          <w:rFonts w:cstheme="minorHAnsi"/>
          <w:b/>
          <w:bCs/>
          <w:sz w:val="20"/>
          <w:szCs w:val="20"/>
        </w:rPr>
        <w:t>ALTRI TRIBUTI PROPRI</w:t>
      </w:r>
      <w:r w:rsidRPr="0005097F">
        <w:rPr>
          <w:rFonts w:cstheme="minorHAnsi"/>
          <w:b/>
          <w:bCs/>
          <w:sz w:val="20"/>
          <w:szCs w:val="20"/>
        </w:rPr>
        <w:t xml:space="preserve"> (euro pro capite costanti 2015)</w:t>
      </w:r>
    </w:p>
    <w:p w14:paraId="68413E0D"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29F656AF" w14:textId="77777777" w:rsidR="004F27FD" w:rsidRDefault="004F27FD" w:rsidP="00D030F2">
      <w:pPr>
        <w:autoSpaceDE w:val="0"/>
        <w:autoSpaceDN w:val="0"/>
        <w:adjustRightInd w:val="0"/>
        <w:spacing w:after="0" w:line="240" w:lineRule="auto"/>
        <w:jc w:val="both"/>
        <w:rPr>
          <w:rFonts w:cstheme="minorHAnsi"/>
          <w:color w:val="000000"/>
          <w:sz w:val="17"/>
          <w:szCs w:val="17"/>
        </w:rPr>
      </w:pPr>
    </w:p>
    <w:p w14:paraId="6A6848DF" w14:textId="77777777" w:rsidR="00684E2B" w:rsidRDefault="00684E2B" w:rsidP="00465511">
      <w:pPr>
        <w:autoSpaceDE w:val="0"/>
        <w:autoSpaceDN w:val="0"/>
        <w:adjustRightInd w:val="0"/>
        <w:spacing w:after="0" w:line="240" w:lineRule="auto"/>
        <w:jc w:val="center"/>
        <w:rPr>
          <w:rFonts w:cstheme="minorHAnsi"/>
          <w:color w:val="000000"/>
          <w:sz w:val="17"/>
          <w:szCs w:val="17"/>
        </w:rPr>
      </w:pPr>
      <w:r w:rsidRPr="00BE68ED">
        <w:rPr>
          <w:rFonts w:cstheme="minorHAnsi"/>
          <w:noProof/>
          <w:lang w:eastAsia="it-IT"/>
        </w:rPr>
        <w:drawing>
          <wp:inline distT="0" distB="0" distL="0" distR="0" wp14:anchorId="119662CC" wp14:editId="5158D58B">
            <wp:extent cx="4572000" cy="2743200"/>
            <wp:effectExtent l="0" t="0" r="0" b="0"/>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55190A" w14:textId="77777777" w:rsidR="00576300" w:rsidRPr="00BE68ED" w:rsidRDefault="00576300" w:rsidP="00576300">
      <w:pPr>
        <w:autoSpaceDE w:val="0"/>
        <w:autoSpaceDN w:val="0"/>
        <w:adjustRightInd w:val="0"/>
        <w:spacing w:after="0" w:line="240" w:lineRule="auto"/>
        <w:jc w:val="both"/>
        <w:rPr>
          <w:rFonts w:cstheme="minorHAnsi"/>
          <w:color w:val="000000"/>
          <w:sz w:val="17"/>
          <w:szCs w:val="17"/>
        </w:rPr>
      </w:pPr>
      <w:r w:rsidRPr="00BE68ED">
        <w:rPr>
          <w:rFonts w:cstheme="minorHAnsi"/>
          <w:color w:val="000000"/>
          <w:sz w:val="17"/>
          <w:szCs w:val="17"/>
        </w:rPr>
        <w:t>Fonte: Sistema Conti Pubblici Territoriali e Istat</w:t>
      </w:r>
    </w:p>
    <w:p w14:paraId="75476ABE" w14:textId="77777777" w:rsidR="00576300" w:rsidRPr="00BE68ED" w:rsidRDefault="00576300" w:rsidP="00465511">
      <w:pPr>
        <w:autoSpaceDE w:val="0"/>
        <w:autoSpaceDN w:val="0"/>
        <w:adjustRightInd w:val="0"/>
        <w:spacing w:after="0" w:line="240" w:lineRule="auto"/>
        <w:jc w:val="center"/>
        <w:rPr>
          <w:rFonts w:cstheme="minorHAnsi"/>
          <w:color w:val="000000"/>
          <w:sz w:val="17"/>
          <w:szCs w:val="17"/>
        </w:rPr>
      </w:pPr>
    </w:p>
    <w:sectPr w:rsidR="00576300" w:rsidRPr="00BE68ED">
      <w:pgSz w:w="11906" w:h="16838"/>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05207E" w15:done="0"/>
  <w15:commentEx w15:paraId="57BC6A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azza">
    <w15:presenceInfo w15:providerId="None" w15:userId="Piaz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F2"/>
    <w:rsid w:val="0005097F"/>
    <w:rsid w:val="00192679"/>
    <w:rsid w:val="0026110E"/>
    <w:rsid w:val="00271536"/>
    <w:rsid w:val="00465511"/>
    <w:rsid w:val="004F27FD"/>
    <w:rsid w:val="004F5C37"/>
    <w:rsid w:val="00501036"/>
    <w:rsid w:val="00576300"/>
    <w:rsid w:val="00590EBC"/>
    <w:rsid w:val="0061624A"/>
    <w:rsid w:val="00684E2B"/>
    <w:rsid w:val="007504A1"/>
    <w:rsid w:val="008A628F"/>
    <w:rsid w:val="00926B71"/>
    <w:rsid w:val="00AB2575"/>
    <w:rsid w:val="00BE68ED"/>
    <w:rsid w:val="00C879BE"/>
    <w:rsid w:val="00D030F2"/>
    <w:rsid w:val="00EC21DC"/>
    <w:rsid w:val="00EE10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030F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30F2"/>
    <w:rPr>
      <w:rFonts w:ascii="Tahoma" w:hAnsi="Tahoma" w:cs="Tahoma"/>
      <w:sz w:val="16"/>
      <w:szCs w:val="16"/>
    </w:rPr>
  </w:style>
  <w:style w:type="character" w:styleId="Rimandocommento">
    <w:name w:val="annotation reference"/>
    <w:basedOn w:val="Carpredefinitoparagrafo"/>
    <w:uiPriority w:val="99"/>
    <w:semiHidden/>
    <w:unhideWhenUsed/>
    <w:rsid w:val="0026110E"/>
    <w:rPr>
      <w:sz w:val="16"/>
      <w:szCs w:val="16"/>
    </w:rPr>
  </w:style>
  <w:style w:type="paragraph" w:styleId="Testocommento">
    <w:name w:val="annotation text"/>
    <w:basedOn w:val="Normale"/>
    <w:link w:val="TestocommentoCarattere"/>
    <w:uiPriority w:val="99"/>
    <w:semiHidden/>
    <w:unhideWhenUsed/>
    <w:rsid w:val="0026110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6110E"/>
    <w:rPr>
      <w:sz w:val="20"/>
      <w:szCs w:val="20"/>
    </w:rPr>
  </w:style>
  <w:style w:type="paragraph" w:styleId="Soggettocommento">
    <w:name w:val="annotation subject"/>
    <w:basedOn w:val="Testocommento"/>
    <w:next w:val="Testocommento"/>
    <w:link w:val="SoggettocommentoCarattere"/>
    <w:uiPriority w:val="99"/>
    <w:semiHidden/>
    <w:unhideWhenUsed/>
    <w:rsid w:val="0026110E"/>
    <w:rPr>
      <w:b/>
      <w:bCs/>
    </w:rPr>
  </w:style>
  <w:style w:type="character" w:customStyle="1" w:styleId="SoggettocommentoCarattere">
    <w:name w:val="Soggetto commento Carattere"/>
    <w:basedOn w:val="TestocommentoCarattere"/>
    <w:link w:val="Soggettocommento"/>
    <w:uiPriority w:val="99"/>
    <w:semiHidden/>
    <w:rsid w:val="0026110E"/>
    <w:rPr>
      <w:b/>
      <w:bCs/>
      <w:sz w:val="20"/>
      <w:szCs w:val="20"/>
    </w:rPr>
  </w:style>
  <w:style w:type="paragraph" w:styleId="Revisione">
    <w:name w:val="Revision"/>
    <w:hidden/>
    <w:uiPriority w:val="99"/>
    <w:semiHidden/>
    <w:rsid w:val="0026110E"/>
    <w:pPr>
      <w:spacing w:after="0" w:line="240" w:lineRule="auto"/>
    </w:pPr>
  </w:style>
  <w:style w:type="paragraph" w:styleId="Nessunaspaziatura">
    <w:name w:val="No Spacing"/>
    <w:uiPriority w:val="1"/>
    <w:qFormat/>
    <w:rsid w:val="005763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030F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30F2"/>
    <w:rPr>
      <w:rFonts w:ascii="Tahoma" w:hAnsi="Tahoma" w:cs="Tahoma"/>
      <w:sz w:val="16"/>
      <w:szCs w:val="16"/>
    </w:rPr>
  </w:style>
  <w:style w:type="character" w:styleId="Rimandocommento">
    <w:name w:val="annotation reference"/>
    <w:basedOn w:val="Carpredefinitoparagrafo"/>
    <w:uiPriority w:val="99"/>
    <w:semiHidden/>
    <w:unhideWhenUsed/>
    <w:rsid w:val="0026110E"/>
    <w:rPr>
      <w:sz w:val="16"/>
      <w:szCs w:val="16"/>
    </w:rPr>
  </w:style>
  <w:style w:type="paragraph" w:styleId="Testocommento">
    <w:name w:val="annotation text"/>
    <w:basedOn w:val="Normale"/>
    <w:link w:val="TestocommentoCarattere"/>
    <w:uiPriority w:val="99"/>
    <w:semiHidden/>
    <w:unhideWhenUsed/>
    <w:rsid w:val="0026110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6110E"/>
    <w:rPr>
      <w:sz w:val="20"/>
      <w:szCs w:val="20"/>
    </w:rPr>
  </w:style>
  <w:style w:type="paragraph" w:styleId="Soggettocommento">
    <w:name w:val="annotation subject"/>
    <w:basedOn w:val="Testocommento"/>
    <w:next w:val="Testocommento"/>
    <w:link w:val="SoggettocommentoCarattere"/>
    <w:uiPriority w:val="99"/>
    <w:semiHidden/>
    <w:unhideWhenUsed/>
    <w:rsid w:val="0026110E"/>
    <w:rPr>
      <w:b/>
      <w:bCs/>
    </w:rPr>
  </w:style>
  <w:style w:type="character" w:customStyle="1" w:styleId="SoggettocommentoCarattere">
    <w:name w:val="Soggetto commento Carattere"/>
    <w:basedOn w:val="TestocommentoCarattere"/>
    <w:link w:val="Soggettocommento"/>
    <w:uiPriority w:val="99"/>
    <w:semiHidden/>
    <w:rsid w:val="0026110E"/>
    <w:rPr>
      <w:b/>
      <w:bCs/>
      <w:sz w:val="20"/>
      <w:szCs w:val="20"/>
    </w:rPr>
  </w:style>
  <w:style w:type="paragraph" w:styleId="Revisione">
    <w:name w:val="Revision"/>
    <w:hidden/>
    <w:uiPriority w:val="99"/>
    <w:semiHidden/>
    <w:rsid w:val="0026110E"/>
    <w:pPr>
      <w:spacing w:after="0" w:line="240" w:lineRule="auto"/>
    </w:pPr>
  </w:style>
  <w:style w:type="paragraph" w:styleId="Nessunaspaziatura">
    <w:name w:val="No Spacing"/>
    <w:uiPriority w:val="1"/>
    <w:qFormat/>
    <w:rsid w:val="00576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microsoft.com/office/2011/relationships/commentsExtended" Target="commentsExtended.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AZIONE%20GRAFICA%204&#176;\Downloads\TABELLA_DA_DEFLAZIONARE%20agg%20con%20dati%202020_marzo_%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TAZIONE%20GRAFICA%204&#176;\Downloads\TABELLA_DA_DEFLAZIONARE%20agg%20con%20dati%202020_marzo_%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elet\Downloads\figg%201%202%20entrate%20piem%20cp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elet\Downloads\figg%201%202%20entrate%20piem%20cp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elet\Downloads\figg%201%202%20entrate%20piem%20cp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elet\Downloads\figg%201%202%20entrate%20piem%20cp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felet\Downloads\figg%201%202%20entrate%20piem%20cp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felet\Downloads\figg%201%202%20entrate%20piem%20c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Foglio1!$F$2</c:f>
              <c:strCache>
                <c:ptCount val="1"/>
                <c:pt idx="0">
                  <c:v>Centro-Nord</c:v>
                </c:pt>
              </c:strCache>
            </c:strRef>
          </c:tx>
          <c:invertIfNegative val="0"/>
          <c:cat>
            <c:numRef>
              <c:f>Foglio1!$E$3:$E$22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Foglio1!$F$3:$F$22</c:f>
              <c:numCache>
                <c:formatCode>General</c:formatCode>
                <c:ptCount val="20"/>
                <c:pt idx="0">
                  <c:v>-1.3717571448196253</c:v>
                </c:pt>
                <c:pt idx="1">
                  <c:v>0.76003113488860663</c:v>
                </c:pt>
                <c:pt idx="2">
                  <c:v>1.2536956283082219</c:v>
                </c:pt>
                <c:pt idx="3">
                  <c:v>1.3175073170001781</c:v>
                </c:pt>
                <c:pt idx="4">
                  <c:v>0.73342074317812944</c:v>
                </c:pt>
                <c:pt idx="5">
                  <c:v>1.0107639413492251</c:v>
                </c:pt>
                <c:pt idx="6">
                  <c:v>1.0862482490857701</c:v>
                </c:pt>
                <c:pt idx="7">
                  <c:v>1.0215964051421196</c:v>
                </c:pt>
                <c:pt idx="8">
                  <c:v>0.68916331860329194</c:v>
                </c:pt>
                <c:pt idx="9">
                  <c:v>0.64544122227027856</c:v>
                </c:pt>
                <c:pt idx="10">
                  <c:v>-2.3344985014321082</c:v>
                </c:pt>
                <c:pt idx="11">
                  <c:v>0.71574701178013811</c:v>
                </c:pt>
                <c:pt idx="12">
                  <c:v>2.0273610415992636</c:v>
                </c:pt>
                <c:pt idx="13">
                  <c:v>8.6277986432833131E-2</c:v>
                </c:pt>
                <c:pt idx="14">
                  <c:v>-0.17061481397547595</c:v>
                </c:pt>
                <c:pt idx="15">
                  <c:v>-3.4837193687636159E-2</c:v>
                </c:pt>
                <c:pt idx="16">
                  <c:v>-5.6008127709787914E-2</c:v>
                </c:pt>
                <c:pt idx="17">
                  <c:v>-0.73192692986204122</c:v>
                </c:pt>
                <c:pt idx="18">
                  <c:v>-0.12076969933869464</c:v>
                </c:pt>
                <c:pt idx="19">
                  <c:v>-0.44088686609488548</c:v>
                </c:pt>
              </c:numCache>
            </c:numRef>
          </c:val>
          <c:extLst xmlns:c16r2="http://schemas.microsoft.com/office/drawing/2015/06/chart">
            <c:ext xmlns:c16="http://schemas.microsoft.com/office/drawing/2014/chart" uri="{C3380CC4-5D6E-409C-BE32-E72D297353CC}">
              <c16:uniqueId val="{00000000-EAE6-499F-BA26-1AA0B1CC498B}"/>
            </c:ext>
          </c:extLst>
        </c:ser>
        <c:ser>
          <c:idx val="1"/>
          <c:order val="1"/>
          <c:tx>
            <c:strRef>
              <c:f>Foglio1!$G$2</c:f>
              <c:strCache>
                <c:ptCount val="1"/>
                <c:pt idx="0">
                  <c:v>Mezzogiorno</c:v>
                </c:pt>
              </c:strCache>
            </c:strRef>
          </c:tx>
          <c:invertIfNegative val="0"/>
          <c:cat>
            <c:numRef>
              <c:f>Foglio1!$E$3:$E$22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Foglio1!$G$3:$G$22</c:f>
              <c:numCache>
                <c:formatCode>General</c:formatCode>
                <c:ptCount val="20"/>
                <c:pt idx="0">
                  <c:v>-1.6441559583908969</c:v>
                </c:pt>
                <c:pt idx="1">
                  <c:v>0.24391264357905129</c:v>
                </c:pt>
                <c:pt idx="2">
                  <c:v>0.51694375961272954</c:v>
                </c:pt>
                <c:pt idx="3">
                  <c:v>0.40502560246910946</c:v>
                </c:pt>
                <c:pt idx="4">
                  <c:v>6.1338027914430882E-2</c:v>
                </c:pt>
                <c:pt idx="5">
                  <c:v>-2.1339061257606318E-2</c:v>
                </c:pt>
                <c:pt idx="6">
                  <c:v>0.34278906904303597</c:v>
                </c:pt>
                <c:pt idx="7">
                  <c:v>0.14152459270087547</c:v>
                </c:pt>
                <c:pt idx="8">
                  <c:v>0.12075520405304019</c:v>
                </c:pt>
                <c:pt idx="9">
                  <c:v>0.15051651876889593</c:v>
                </c:pt>
                <c:pt idx="10">
                  <c:v>-1.4590161966854964</c:v>
                </c:pt>
                <c:pt idx="11">
                  <c:v>6.5058089590337431E-2</c:v>
                </c:pt>
                <c:pt idx="12">
                  <c:v>1.4813484644692778</c:v>
                </c:pt>
                <c:pt idx="13">
                  <c:v>-0.10246759927488824</c:v>
                </c:pt>
                <c:pt idx="14">
                  <c:v>-0.29658689246852532</c:v>
                </c:pt>
                <c:pt idx="15">
                  <c:v>-0.29857742368363915</c:v>
                </c:pt>
                <c:pt idx="16">
                  <c:v>-0.40025144198261842</c:v>
                </c:pt>
                <c:pt idx="17">
                  <c:v>-1.8170757696931616</c:v>
                </c:pt>
                <c:pt idx="18">
                  <c:v>-0.62734518777421044</c:v>
                </c:pt>
                <c:pt idx="19">
                  <c:v>-1.1456617698762699</c:v>
                </c:pt>
              </c:numCache>
            </c:numRef>
          </c:val>
          <c:extLst xmlns:c16r2="http://schemas.microsoft.com/office/drawing/2015/06/chart">
            <c:ext xmlns:c16="http://schemas.microsoft.com/office/drawing/2014/chart" uri="{C3380CC4-5D6E-409C-BE32-E72D297353CC}">
              <c16:uniqueId val="{00000001-EAE6-499F-BA26-1AA0B1CC498B}"/>
            </c:ext>
          </c:extLst>
        </c:ser>
        <c:ser>
          <c:idx val="2"/>
          <c:order val="2"/>
          <c:tx>
            <c:strRef>
              <c:f>Foglio1!$H$2</c:f>
              <c:strCache>
                <c:ptCount val="1"/>
                <c:pt idx="0">
                  <c:v>Piemonte</c:v>
                </c:pt>
              </c:strCache>
            </c:strRef>
          </c:tx>
          <c:invertIfNegative val="0"/>
          <c:cat>
            <c:numRef>
              <c:f>Foglio1!$E$3:$E$22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Foglio1!$H$3:$H$22</c:f>
              <c:numCache>
                <c:formatCode>General</c:formatCode>
                <c:ptCount val="20"/>
                <c:pt idx="0">
                  <c:v>-1.781859981430074</c:v>
                </c:pt>
                <c:pt idx="1">
                  <c:v>0.42816855410517007</c:v>
                </c:pt>
                <c:pt idx="2">
                  <c:v>0.91888279204619039</c:v>
                </c:pt>
                <c:pt idx="3">
                  <c:v>1.4040745021035121</c:v>
                </c:pt>
                <c:pt idx="4">
                  <c:v>0.26698708503958812</c:v>
                </c:pt>
                <c:pt idx="5">
                  <c:v>0.25554312068476293</c:v>
                </c:pt>
                <c:pt idx="6">
                  <c:v>1.1127937975035991</c:v>
                </c:pt>
                <c:pt idx="7">
                  <c:v>0.71127262019609816</c:v>
                </c:pt>
                <c:pt idx="8">
                  <c:v>0.30815073238532875</c:v>
                </c:pt>
                <c:pt idx="9">
                  <c:v>0.24976215805301649</c:v>
                </c:pt>
                <c:pt idx="10">
                  <c:v>-2.2361343717714703</c:v>
                </c:pt>
                <c:pt idx="11">
                  <c:v>0.37609608636554981</c:v>
                </c:pt>
                <c:pt idx="12">
                  <c:v>1.4345051224813972</c:v>
                </c:pt>
                <c:pt idx="13">
                  <c:v>-0.27792565719691709</c:v>
                </c:pt>
                <c:pt idx="14">
                  <c:v>-0.45702680119435968</c:v>
                </c:pt>
                <c:pt idx="15">
                  <c:v>-0.26610684325989098</c:v>
                </c:pt>
                <c:pt idx="16">
                  <c:v>-0.37930338943924369</c:v>
                </c:pt>
                <c:pt idx="17">
                  <c:v>-1.0809291420096372</c:v>
                </c:pt>
                <c:pt idx="18">
                  <c:v>-0.40077947310483353</c:v>
                </c:pt>
                <c:pt idx="19">
                  <c:v>-0.84134015986668942</c:v>
                </c:pt>
              </c:numCache>
            </c:numRef>
          </c:val>
          <c:extLst xmlns:c16r2="http://schemas.microsoft.com/office/drawing/2015/06/chart">
            <c:ext xmlns:c16="http://schemas.microsoft.com/office/drawing/2014/chart" uri="{C3380CC4-5D6E-409C-BE32-E72D297353CC}">
              <c16:uniqueId val="{00000002-EAE6-499F-BA26-1AA0B1CC498B}"/>
            </c:ext>
          </c:extLst>
        </c:ser>
        <c:dLbls>
          <c:showLegendKey val="0"/>
          <c:showVal val="0"/>
          <c:showCatName val="0"/>
          <c:showSerName val="0"/>
          <c:showPercent val="0"/>
          <c:showBubbleSize val="0"/>
        </c:dLbls>
        <c:gapWidth val="150"/>
        <c:axId val="41335808"/>
        <c:axId val="273021120"/>
      </c:barChart>
      <c:catAx>
        <c:axId val="41335808"/>
        <c:scaling>
          <c:orientation val="minMax"/>
        </c:scaling>
        <c:delete val="0"/>
        <c:axPos val="b"/>
        <c:numFmt formatCode="General" sourceLinked="1"/>
        <c:majorTickMark val="out"/>
        <c:minorTickMark val="none"/>
        <c:tickLblPos val="nextTo"/>
        <c:txPr>
          <a:bodyPr/>
          <a:lstStyle/>
          <a:p>
            <a:pPr>
              <a:defRPr sz="700"/>
            </a:pPr>
            <a:endParaRPr lang="it-IT"/>
          </a:p>
        </c:txPr>
        <c:crossAx val="273021120"/>
        <c:crosses val="autoZero"/>
        <c:auto val="1"/>
        <c:lblAlgn val="ctr"/>
        <c:lblOffset val="100"/>
        <c:noMultiLvlLbl val="0"/>
      </c:catAx>
      <c:valAx>
        <c:axId val="273021120"/>
        <c:scaling>
          <c:orientation val="minMax"/>
        </c:scaling>
        <c:delete val="0"/>
        <c:axPos val="l"/>
        <c:majorGridlines>
          <c:spPr>
            <a:ln>
              <a:noFill/>
            </a:ln>
          </c:spPr>
        </c:majorGridlines>
        <c:numFmt formatCode="General" sourceLinked="1"/>
        <c:majorTickMark val="out"/>
        <c:minorTickMark val="none"/>
        <c:tickLblPos val="nextTo"/>
        <c:txPr>
          <a:bodyPr/>
          <a:lstStyle/>
          <a:p>
            <a:pPr>
              <a:defRPr sz="700"/>
            </a:pPr>
            <a:endParaRPr lang="it-IT"/>
          </a:p>
        </c:txPr>
        <c:crossAx val="4133580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Foglio2!$M$14</c:f>
              <c:strCache>
                <c:ptCount val="1"/>
                <c:pt idx="0">
                  <c:v>Centro-nord</c:v>
                </c:pt>
              </c:strCache>
            </c:strRef>
          </c:tx>
          <c:invertIfNegative val="0"/>
          <c:cat>
            <c:strRef>
              <c:f>Foglio2!$L$15:$L$34</c:f>
              <c:strCach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strCache>
            </c:strRef>
          </c:cat>
          <c:val>
            <c:numRef>
              <c:f>Foglio2!$M$15:$M$34</c:f>
              <c:numCache>
                <c:formatCode>General</c:formatCode>
                <c:ptCount val="20"/>
                <c:pt idx="0">
                  <c:v>2.0251953551101707</c:v>
                </c:pt>
                <c:pt idx="1">
                  <c:v>0.49151176393718288</c:v>
                </c:pt>
                <c:pt idx="2">
                  <c:v>0.37281862458451087</c:v>
                </c:pt>
                <c:pt idx="3">
                  <c:v>1.7268813498273659</c:v>
                </c:pt>
                <c:pt idx="4">
                  <c:v>0.90425565604282099</c:v>
                </c:pt>
                <c:pt idx="5">
                  <c:v>1.8592548052472182</c:v>
                </c:pt>
                <c:pt idx="6">
                  <c:v>1.7266617239785234</c:v>
                </c:pt>
                <c:pt idx="7">
                  <c:v>-0.73947465624317488</c:v>
                </c:pt>
                <c:pt idx="8">
                  <c:v>-5.4952541852204746</c:v>
                </c:pt>
                <c:pt idx="9">
                  <c:v>2.4280381870963623</c:v>
                </c:pt>
                <c:pt idx="10">
                  <c:v>1.033991487430086</c:v>
                </c:pt>
                <c:pt idx="11">
                  <c:v>-3.2224788170205301</c:v>
                </c:pt>
                <c:pt idx="12">
                  <c:v>-1.5231383551650168</c:v>
                </c:pt>
                <c:pt idx="13">
                  <c:v>0.27587409236113558</c:v>
                </c:pt>
                <c:pt idx="14">
                  <c:v>0.60329282221023561</c:v>
                </c:pt>
                <c:pt idx="15">
                  <c:v>1.5954841742236425</c:v>
                </c:pt>
                <c:pt idx="16">
                  <c:v>1.9168765694603564</c:v>
                </c:pt>
                <c:pt idx="17">
                  <c:v>1.1625787090685549</c:v>
                </c:pt>
                <c:pt idx="18">
                  <c:v>0.55025316333792773</c:v>
                </c:pt>
                <c:pt idx="19">
                  <c:v>-9.1578961592312425</c:v>
                </c:pt>
              </c:numCache>
            </c:numRef>
          </c:val>
          <c:extLst xmlns:c16r2="http://schemas.microsoft.com/office/drawing/2015/06/chart">
            <c:ext xmlns:c16="http://schemas.microsoft.com/office/drawing/2014/chart" uri="{C3380CC4-5D6E-409C-BE32-E72D297353CC}">
              <c16:uniqueId val="{00000000-B414-460E-A170-3AB8144ADF3F}"/>
            </c:ext>
          </c:extLst>
        </c:ser>
        <c:ser>
          <c:idx val="1"/>
          <c:order val="1"/>
          <c:tx>
            <c:strRef>
              <c:f>Foglio2!$N$14</c:f>
              <c:strCache>
                <c:ptCount val="1"/>
                <c:pt idx="0">
                  <c:v>Piemonte</c:v>
                </c:pt>
              </c:strCache>
            </c:strRef>
          </c:tx>
          <c:invertIfNegative val="0"/>
          <c:cat>
            <c:strRef>
              <c:f>Foglio2!$L$15:$L$34</c:f>
              <c:strCach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strCache>
            </c:strRef>
          </c:cat>
          <c:val>
            <c:numRef>
              <c:f>Foglio2!$N$15:$N$34</c:f>
              <c:numCache>
                <c:formatCode>General</c:formatCode>
                <c:ptCount val="20"/>
                <c:pt idx="0">
                  <c:v>1.6415845912185318</c:v>
                </c:pt>
                <c:pt idx="1">
                  <c:v>-7.5894833570941955E-3</c:v>
                </c:pt>
                <c:pt idx="2">
                  <c:v>0.65095921236020615</c:v>
                </c:pt>
                <c:pt idx="3">
                  <c:v>1.3144947069039006</c:v>
                </c:pt>
                <c:pt idx="4">
                  <c:v>1.0968402448644241</c:v>
                </c:pt>
                <c:pt idx="5">
                  <c:v>1.7954096297012541</c:v>
                </c:pt>
                <c:pt idx="6">
                  <c:v>0.80217202629802387</c:v>
                </c:pt>
                <c:pt idx="7">
                  <c:v>-1.9886621426848023</c:v>
                </c:pt>
                <c:pt idx="8">
                  <c:v>-8.4060005540651304</c:v>
                </c:pt>
                <c:pt idx="9">
                  <c:v>3.6069969456533215</c:v>
                </c:pt>
                <c:pt idx="10">
                  <c:v>1.0373250988657787</c:v>
                </c:pt>
                <c:pt idx="11">
                  <c:v>-4.8773057337665762</c:v>
                </c:pt>
                <c:pt idx="12">
                  <c:v>-6.9719642053371444E-2</c:v>
                </c:pt>
                <c:pt idx="13">
                  <c:v>-1.11487513367004</c:v>
                </c:pt>
                <c:pt idx="14">
                  <c:v>1.1963273236924294</c:v>
                </c:pt>
                <c:pt idx="15">
                  <c:v>1.2536365374733407</c:v>
                </c:pt>
                <c:pt idx="16">
                  <c:v>2.9345293515109034</c:v>
                </c:pt>
                <c:pt idx="17">
                  <c:v>0.96408156300657311</c:v>
                </c:pt>
                <c:pt idx="18">
                  <c:v>-0.45511582795036531</c:v>
                </c:pt>
                <c:pt idx="19">
                  <c:v>-9.7049481803785653</c:v>
                </c:pt>
              </c:numCache>
            </c:numRef>
          </c:val>
          <c:extLst xmlns:c16r2="http://schemas.microsoft.com/office/drawing/2015/06/chart">
            <c:ext xmlns:c16="http://schemas.microsoft.com/office/drawing/2014/chart" uri="{C3380CC4-5D6E-409C-BE32-E72D297353CC}">
              <c16:uniqueId val="{00000001-B414-460E-A170-3AB8144ADF3F}"/>
            </c:ext>
          </c:extLst>
        </c:ser>
        <c:ser>
          <c:idx val="2"/>
          <c:order val="2"/>
          <c:tx>
            <c:strRef>
              <c:f>Foglio2!$O$14</c:f>
              <c:strCache>
                <c:ptCount val="1"/>
                <c:pt idx="0">
                  <c:v>Mezzogiorno</c:v>
                </c:pt>
              </c:strCache>
            </c:strRef>
          </c:tx>
          <c:invertIfNegative val="0"/>
          <c:cat>
            <c:strRef>
              <c:f>Foglio2!$L$15:$L$34</c:f>
              <c:strCach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strCache>
            </c:strRef>
          </c:cat>
          <c:val>
            <c:numRef>
              <c:f>Foglio2!$O$15:$O$34</c:f>
              <c:numCache>
                <c:formatCode>General</c:formatCode>
                <c:ptCount val="20"/>
                <c:pt idx="0">
                  <c:v>1.7959682645666959</c:v>
                </c:pt>
                <c:pt idx="1">
                  <c:v>-0.43543978767456792</c:v>
                </c:pt>
                <c:pt idx="2">
                  <c:v>-0.63912264746166159</c:v>
                </c:pt>
                <c:pt idx="3">
                  <c:v>0.40139947450235525</c:v>
                </c:pt>
                <c:pt idx="4">
                  <c:v>0.55488600740399363</c:v>
                </c:pt>
                <c:pt idx="5">
                  <c:v>1.5548374962183402</c:v>
                </c:pt>
                <c:pt idx="6">
                  <c:v>0.71205834551399505</c:v>
                </c:pt>
                <c:pt idx="7">
                  <c:v>-1.7014607421130847</c:v>
                </c:pt>
                <c:pt idx="8">
                  <c:v>-4.5692702025532697</c:v>
                </c:pt>
                <c:pt idx="9">
                  <c:v>-0.56742700240857857</c:v>
                </c:pt>
                <c:pt idx="10">
                  <c:v>-0.41167459130554107</c:v>
                </c:pt>
                <c:pt idx="11">
                  <c:v>-2.15895497562461</c:v>
                </c:pt>
                <c:pt idx="12">
                  <c:v>-2.9375629876674054</c:v>
                </c:pt>
                <c:pt idx="13">
                  <c:v>-0.93886185345203899</c:v>
                </c:pt>
                <c:pt idx="14">
                  <c:v>1.4092405790618159</c:v>
                </c:pt>
                <c:pt idx="15">
                  <c:v>0.16055097193674328</c:v>
                </c:pt>
                <c:pt idx="16">
                  <c:v>0.76739871940638693</c:v>
                </c:pt>
                <c:pt idx="17">
                  <c:v>0.10092828153500477</c:v>
                </c:pt>
                <c:pt idx="18">
                  <c:v>0.30419339707587767</c:v>
                </c:pt>
                <c:pt idx="19">
                  <c:v>-8.6593203809483725</c:v>
                </c:pt>
              </c:numCache>
            </c:numRef>
          </c:val>
          <c:extLst xmlns:c16r2="http://schemas.microsoft.com/office/drawing/2015/06/chart">
            <c:ext xmlns:c16="http://schemas.microsoft.com/office/drawing/2014/chart" uri="{C3380CC4-5D6E-409C-BE32-E72D297353CC}">
              <c16:uniqueId val="{00000002-B414-460E-A170-3AB8144ADF3F}"/>
            </c:ext>
          </c:extLst>
        </c:ser>
        <c:dLbls>
          <c:showLegendKey val="0"/>
          <c:showVal val="0"/>
          <c:showCatName val="0"/>
          <c:showSerName val="0"/>
          <c:showPercent val="0"/>
          <c:showBubbleSize val="0"/>
        </c:dLbls>
        <c:gapWidth val="150"/>
        <c:axId val="41336320"/>
        <c:axId val="244244480"/>
      </c:barChart>
      <c:catAx>
        <c:axId val="41336320"/>
        <c:scaling>
          <c:orientation val="minMax"/>
        </c:scaling>
        <c:delete val="0"/>
        <c:axPos val="b"/>
        <c:numFmt formatCode="General" sourceLinked="0"/>
        <c:majorTickMark val="out"/>
        <c:minorTickMark val="none"/>
        <c:tickLblPos val="nextTo"/>
        <c:txPr>
          <a:bodyPr/>
          <a:lstStyle/>
          <a:p>
            <a:pPr>
              <a:defRPr sz="700"/>
            </a:pPr>
            <a:endParaRPr lang="it-IT"/>
          </a:p>
        </c:txPr>
        <c:crossAx val="244244480"/>
        <c:crosses val="autoZero"/>
        <c:auto val="1"/>
        <c:lblAlgn val="ctr"/>
        <c:lblOffset val="100"/>
        <c:noMultiLvlLbl val="0"/>
      </c:catAx>
      <c:valAx>
        <c:axId val="244244480"/>
        <c:scaling>
          <c:orientation val="minMax"/>
        </c:scaling>
        <c:delete val="0"/>
        <c:axPos val="l"/>
        <c:majorGridlines>
          <c:spPr>
            <a:ln>
              <a:noFill/>
            </a:ln>
          </c:spPr>
        </c:majorGridlines>
        <c:numFmt formatCode="General" sourceLinked="1"/>
        <c:majorTickMark val="out"/>
        <c:minorTickMark val="none"/>
        <c:tickLblPos val="nextTo"/>
        <c:txPr>
          <a:bodyPr/>
          <a:lstStyle/>
          <a:p>
            <a:pPr>
              <a:defRPr sz="700"/>
            </a:pPr>
            <a:endParaRPr lang="it-IT"/>
          </a:p>
        </c:txPr>
        <c:crossAx val="4133632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'[figg 1 2 entrate piem cpt.xlsx]entrate totali'!$F$3:$F$23</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'[figg 1 2 entrate piem cpt.xlsx]entrate totali'!$C$3:$C$23</c:f>
              <c:numCache>
                <c:formatCode>General</c:formatCode>
                <c:ptCount val="21"/>
                <c:pt idx="0">
                  <c:v>82226.647876531744</c:v>
                </c:pt>
                <c:pt idx="1">
                  <c:v>82637.302517666292</c:v>
                </c:pt>
                <c:pt idx="2">
                  <c:v>80483.939577461177</c:v>
                </c:pt>
                <c:pt idx="3">
                  <c:v>81421.749868366838</c:v>
                </c:pt>
                <c:pt idx="4">
                  <c:v>81612.264000125026</c:v>
                </c:pt>
                <c:pt idx="5">
                  <c:v>80608.679081143913</c:v>
                </c:pt>
                <c:pt idx="6">
                  <c:v>83897.368211327921</c:v>
                </c:pt>
                <c:pt idx="7">
                  <c:v>86547.311437769982</c:v>
                </c:pt>
                <c:pt idx="8">
                  <c:v>86002.874570340602</c:v>
                </c:pt>
                <c:pt idx="9">
                  <c:v>85952.912016135873</c:v>
                </c:pt>
                <c:pt idx="10">
                  <c:v>82392.021512865074</c:v>
                </c:pt>
                <c:pt idx="11">
                  <c:v>82418.969574046598</c:v>
                </c:pt>
                <c:pt idx="12">
                  <c:v>83333.490816815829</c:v>
                </c:pt>
                <c:pt idx="13">
                  <c:v>81217.2435783533</c:v>
                </c:pt>
                <c:pt idx="14">
                  <c:v>80268.92046980554</c:v>
                </c:pt>
                <c:pt idx="15">
                  <c:v>80357</c:v>
                </c:pt>
                <c:pt idx="16">
                  <c:v>80941.60797513173</c:v>
                </c:pt>
                <c:pt idx="17">
                  <c:v>80463.145043793382</c:v>
                </c:pt>
                <c:pt idx="18">
                  <c:v>82820.118888686367</c:v>
                </c:pt>
                <c:pt idx="19">
                  <c:v>83007.509626960076</c:v>
                </c:pt>
                <c:pt idx="20">
                  <c:v>75837.691094499809</c:v>
                </c:pt>
              </c:numCache>
            </c:numRef>
          </c:val>
          <c:smooth val="0"/>
          <c:extLst xmlns:c16r2="http://schemas.microsoft.com/office/drawing/2015/06/chart">
            <c:ext xmlns:c16="http://schemas.microsoft.com/office/drawing/2014/chart" uri="{C3380CC4-5D6E-409C-BE32-E72D297353CC}">
              <c16:uniqueId val="{00000000-70FE-448A-B1E4-BD3642EC1F25}"/>
            </c:ext>
          </c:extLst>
        </c:ser>
        <c:dLbls>
          <c:showLegendKey val="0"/>
          <c:showVal val="0"/>
          <c:showCatName val="0"/>
          <c:showSerName val="0"/>
          <c:showPercent val="0"/>
          <c:showBubbleSize val="0"/>
        </c:dLbls>
        <c:marker val="1"/>
        <c:smooth val="0"/>
        <c:axId val="157347328"/>
        <c:axId val="244246208"/>
      </c:lineChart>
      <c:catAx>
        <c:axId val="15734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244246208"/>
        <c:crosses val="autoZero"/>
        <c:auto val="1"/>
        <c:lblAlgn val="ctr"/>
        <c:lblOffset val="100"/>
        <c:noMultiLvlLbl val="0"/>
      </c:catAx>
      <c:valAx>
        <c:axId val="2442462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15734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'[figg 1 2 entrate piem cpt.xlsx]entrate totali'!$G$27</c:f>
              <c:strCache>
                <c:ptCount val="1"/>
                <c:pt idx="0">
                  <c:v>Piemonte</c:v>
                </c:pt>
              </c:strCache>
            </c:strRef>
          </c:tx>
          <c:spPr>
            <a:ln w="28575" cap="rnd">
              <a:solidFill>
                <a:schemeClr val="accent1"/>
              </a:solidFill>
              <a:round/>
            </a:ln>
            <a:effectLst/>
          </c:spPr>
          <c:marker>
            <c:symbol val="none"/>
          </c:marker>
          <c:cat>
            <c:numRef>
              <c:f>'[figg 1 2 entrate piem cpt.xlsx]entrate totali'!$F$28:$F$48</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'[figg 1 2 entrate piem cpt.xlsx]entrate totali'!$G$28:$G$48</c:f>
              <c:numCache>
                <c:formatCode>General</c:formatCode>
                <c:ptCount val="21"/>
                <c:pt idx="0">
                  <c:v>19168.252712473521</c:v>
                </c:pt>
                <c:pt idx="1">
                  <c:v>19613.466925798744</c:v>
                </c:pt>
                <c:pt idx="2">
                  <c:v>19020.937505160589</c:v>
                </c:pt>
                <c:pt idx="3">
                  <c:v>19067.365429695419</c:v>
                </c:pt>
                <c:pt idx="4">
                  <c:v>18847.34925082076</c:v>
                </c:pt>
                <c:pt idx="5">
                  <c:v>18566.014787446373</c:v>
                </c:pt>
                <c:pt idx="6">
                  <c:v>19274.220853966184</c:v>
                </c:pt>
                <c:pt idx="7">
                  <c:v>19664.185586094995</c:v>
                </c:pt>
                <c:pt idx="8">
                  <c:v>19402.480991357068</c:v>
                </c:pt>
                <c:pt idx="9">
                  <c:v>19331.638717775706</c:v>
                </c:pt>
                <c:pt idx="10">
                  <c:v>18484.592590160952</c:v>
                </c:pt>
                <c:pt idx="11">
                  <c:v>18913.571236244428</c:v>
                </c:pt>
                <c:pt idx="12">
                  <c:v>19051.783293114902</c:v>
                </c:pt>
                <c:pt idx="13">
                  <c:v>18305.373284596979</c:v>
                </c:pt>
                <c:pt idx="14">
                  <c:v>18142.054279036445</c:v>
                </c:pt>
                <c:pt idx="15">
                  <c:v>18245.347784842172</c:v>
                </c:pt>
                <c:pt idx="16">
                  <c:v>18427.120972108471</c:v>
                </c:pt>
                <c:pt idx="17">
                  <c:v>18387.940451497794</c:v>
                </c:pt>
                <c:pt idx="18">
                  <c:v>19133.389215291063</c:v>
                </c:pt>
                <c:pt idx="19">
                  <c:v>19253.846333172296</c:v>
                </c:pt>
                <c:pt idx="20">
                  <c:v>17740.039016759234</c:v>
                </c:pt>
              </c:numCache>
            </c:numRef>
          </c:val>
          <c:smooth val="0"/>
          <c:extLst xmlns:c16r2="http://schemas.microsoft.com/office/drawing/2015/06/chart">
            <c:ext xmlns:c16="http://schemas.microsoft.com/office/drawing/2014/chart" uri="{C3380CC4-5D6E-409C-BE32-E72D297353CC}">
              <c16:uniqueId val="{00000000-3528-492B-9073-1D49D648330E}"/>
            </c:ext>
          </c:extLst>
        </c:ser>
        <c:ser>
          <c:idx val="1"/>
          <c:order val="1"/>
          <c:tx>
            <c:strRef>
              <c:f>'[figg 1 2 entrate piem cpt.xlsx]entrate totali'!$H$27</c:f>
              <c:strCache>
                <c:ptCount val="1"/>
                <c:pt idx="0">
                  <c:v>Centro Nord</c:v>
                </c:pt>
              </c:strCache>
            </c:strRef>
          </c:tx>
          <c:spPr>
            <a:ln w="28575" cap="rnd">
              <a:solidFill>
                <a:schemeClr val="accent2"/>
              </a:solidFill>
              <a:round/>
            </a:ln>
            <a:effectLst/>
          </c:spPr>
          <c:marker>
            <c:symbol val="none"/>
          </c:marker>
          <c:cat>
            <c:numRef>
              <c:f>'[figg 1 2 entrate piem cpt.xlsx]entrate totali'!$F$28:$F$48</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'[figg 1 2 entrate piem cpt.xlsx]entrate totali'!$H$28:$H$48</c:f>
              <c:numCache>
                <c:formatCode>General</c:formatCode>
                <c:ptCount val="21"/>
                <c:pt idx="0">
                  <c:v>20085.225932766785</c:v>
                </c:pt>
                <c:pt idx="1">
                  <c:v>21282.45434383491</c:v>
                </c:pt>
                <c:pt idx="2">
                  <c:v>20593.855820064222</c:v>
                </c:pt>
                <c:pt idx="3">
                  <c:v>21100.112997602948</c:v>
                </c:pt>
                <c:pt idx="4">
                  <c:v>20487.569742771611</c:v>
                </c:pt>
                <c:pt idx="5">
                  <c:v>20006.395128965647</c:v>
                </c:pt>
                <c:pt idx="6">
                  <c:v>21239.022182826982</c:v>
                </c:pt>
                <c:pt idx="7">
                  <c:v>21930.918999722875</c:v>
                </c:pt>
                <c:pt idx="8">
                  <c:v>21333.779577068799</c:v>
                </c:pt>
                <c:pt idx="9">
                  <c:v>20819.51514675406</c:v>
                </c:pt>
                <c:pt idx="10">
                  <c:v>20974.640472662089</c:v>
                </c:pt>
                <c:pt idx="11">
                  <c:v>20833.217998388878</c:v>
                </c:pt>
                <c:pt idx="12">
                  <c:v>20865.967170315136</c:v>
                </c:pt>
                <c:pt idx="13">
                  <c:v>20733.256882844038</c:v>
                </c:pt>
                <c:pt idx="14">
                  <c:v>19878.104271393469</c:v>
                </c:pt>
                <c:pt idx="15">
                  <c:v>20185.558467737024</c:v>
                </c:pt>
                <c:pt idx="16">
                  <c:v>19880.430900039886</c:v>
                </c:pt>
                <c:pt idx="17">
                  <c:v>20273.985406659984</c:v>
                </c:pt>
                <c:pt idx="18">
                  <c:v>20821.922880767423</c:v>
                </c:pt>
                <c:pt idx="19">
                  <c:v>20905.307625102327</c:v>
                </c:pt>
                <c:pt idx="20">
                  <c:v>19500.727072833964</c:v>
                </c:pt>
              </c:numCache>
            </c:numRef>
          </c:val>
          <c:smooth val="0"/>
          <c:extLst xmlns:c16r2="http://schemas.microsoft.com/office/drawing/2015/06/chart">
            <c:ext xmlns:c16="http://schemas.microsoft.com/office/drawing/2014/chart" uri="{C3380CC4-5D6E-409C-BE32-E72D297353CC}">
              <c16:uniqueId val="{00000001-3528-492B-9073-1D49D648330E}"/>
            </c:ext>
          </c:extLst>
        </c:ser>
        <c:ser>
          <c:idx val="2"/>
          <c:order val="2"/>
          <c:tx>
            <c:strRef>
              <c:f>'[figg 1 2 entrate piem cpt.xlsx]entrate totali'!$I$27</c:f>
              <c:strCache>
                <c:ptCount val="1"/>
                <c:pt idx="0">
                  <c:v>Mezzogiorno</c:v>
                </c:pt>
              </c:strCache>
            </c:strRef>
          </c:tx>
          <c:spPr>
            <a:ln w="28575" cap="rnd">
              <a:solidFill>
                <a:schemeClr val="accent3"/>
              </a:solidFill>
              <a:prstDash val="dash"/>
              <a:round/>
            </a:ln>
            <a:effectLst/>
          </c:spPr>
          <c:marker>
            <c:symbol val="none"/>
          </c:marker>
          <c:cat>
            <c:numRef>
              <c:f>'[figg 1 2 entrate piem cpt.xlsx]entrate totali'!$F$28:$F$48</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'[figg 1 2 entrate piem cpt.xlsx]entrate totali'!$I$28:$I$48</c:f>
              <c:numCache>
                <c:formatCode>General</c:formatCode>
                <c:ptCount val="21"/>
                <c:pt idx="0">
                  <c:v>10258.37848383595</c:v>
                </c:pt>
                <c:pt idx="1">
                  <c:v>11059.901078803006</c:v>
                </c:pt>
                <c:pt idx="2">
                  <c:v>10841.021930966379</c:v>
                </c:pt>
                <c:pt idx="3">
                  <c:v>11311.652339264083</c:v>
                </c:pt>
                <c:pt idx="4">
                  <c:v>11756.770078329204</c:v>
                </c:pt>
                <c:pt idx="5">
                  <c:v>11435.089549953271</c:v>
                </c:pt>
                <c:pt idx="6">
                  <c:v>12169.012663461308</c:v>
                </c:pt>
                <c:pt idx="7">
                  <c:v>12218.269792337171</c:v>
                </c:pt>
                <c:pt idx="8">
                  <c:v>12130.218333110988</c:v>
                </c:pt>
                <c:pt idx="9">
                  <c:v>11827.794897162261</c:v>
                </c:pt>
                <c:pt idx="10">
                  <c:v>11494.259843315358</c:v>
                </c:pt>
                <c:pt idx="11">
                  <c:v>11612.417490966527</c:v>
                </c:pt>
                <c:pt idx="12">
                  <c:v>11997.351395060572</c:v>
                </c:pt>
                <c:pt idx="13">
                  <c:v>11622.804177750215</c:v>
                </c:pt>
                <c:pt idx="14">
                  <c:v>11216.870379269791</c:v>
                </c:pt>
                <c:pt idx="15">
                  <c:v>11647.124693604666</c:v>
                </c:pt>
                <c:pt idx="16">
                  <c:v>11344.346447935133</c:v>
                </c:pt>
                <c:pt idx="17">
                  <c:v>11326.222186652813</c:v>
                </c:pt>
                <c:pt idx="18">
                  <c:v>11677.428003282923</c:v>
                </c:pt>
                <c:pt idx="19">
                  <c:v>11764.199828889681</c:v>
                </c:pt>
                <c:pt idx="20">
                  <c:v>11188.602758272962</c:v>
                </c:pt>
              </c:numCache>
            </c:numRef>
          </c:val>
          <c:smooth val="0"/>
          <c:extLst xmlns:c16r2="http://schemas.microsoft.com/office/drawing/2015/06/chart">
            <c:ext xmlns:c16="http://schemas.microsoft.com/office/drawing/2014/chart" uri="{C3380CC4-5D6E-409C-BE32-E72D297353CC}">
              <c16:uniqueId val="{00000002-3528-492B-9073-1D49D648330E}"/>
            </c:ext>
          </c:extLst>
        </c:ser>
        <c:dLbls>
          <c:showLegendKey val="0"/>
          <c:showVal val="0"/>
          <c:showCatName val="0"/>
          <c:showSerName val="0"/>
          <c:showPercent val="0"/>
          <c:showBubbleSize val="0"/>
        </c:dLbls>
        <c:marker val="1"/>
        <c:smooth val="0"/>
        <c:axId val="157355008"/>
        <c:axId val="244247936"/>
      </c:lineChart>
      <c:catAx>
        <c:axId val="15735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244247936"/>
        <c:crosses val="autoZero"/>
        <c:auto val="1"/>
        <c:lblAlgn val="ctr"/>
        <c:lblOffset val="100"/>
        <c:noMultiLvlLbl val="0"/>
      </c:catAx>
      <c:valAx>
        <c:axId val="244247936"/>
        <c:scaling>
          <c:orientation val="minMax"/>
          <c:min val="9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15735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'[figg 1 2 entrate piem cpt.xlsx]trib e contrib'!$F$29</c:f>
              <c:strCache>
                <c:ptCount val="1"/>
                <c:pt idx="0">
                  <c:v>Piemonte </c:v>
                </c:pt>
              </c:strCache>
            </c:strRef>
          </c:tx>
          <c:spPr>
            <a:ln w="28575" cap="rnd">
              <a:solidFill>
                <a:schemeClr val="accent1"/>
              </a:solidFill>
              <a:round/>
            </a:ln>
            <a:effectLst/>
          </c:spPr>
          <c:marker>
            <c:symbol val="none"/>
          </c:marker>
          <c:cat>
            <c:numRef>
              <c:f>'[figg 1 2 entrate piem cpt.xlsx]trib e contrib'!$E$30:$E$50</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'[figg 1 2 entrate piem cpt.xlsx]trib e contrib'!$F$30:$F$50</c:f>
              <c:numCache>
                <c:formatCode>General</c:formatCode>
                <c:ptCount val="21"/>
                <c:pt idx="0">
                  <c:v>0.48596205941881693</c:v>
                </c:pt>
                <c:pt idx="1">
                  <c:v>0.46398113893937803</c:v>
                </c:pt>
                <c:pt idx="2">
                  <c:v>0.4446671450593892</c:v>
                </c:pt>
                <c:pt idx="3">
                  <c:v>0.44931905988031601</c:v>
                </c:pt>
                <c:pt idx="4">
                  <c:v>0.4480093355194924</c:v>
                </c:pt>
                <c:pt idx="5">
                  <c:v>0.4313445476616431</c:v>
                </c:pt>
                <c:pt idx="6">
                  <c:v>0.44006322948289772</c:v>
                </c:pt>
                <c:pt idx="7">
                  <c:v>0.45742174871621039</c:v>
                </c:pt>
                <c:pt idx="8">
                  <c:v>0.46230481167550602</c:v>
                </c:pt>
                <c:pt idx="9">
                  <c:v>0.4957551269400497</c:v>
                </c:pt>
                <c:pt idx="10">
                  <c:v>0.43979387208336873</c:v>
                </c:pt>
                <c:pt idx="11">
                  <c:v>0.4612908206534565</c:v>
                </c:pt>
                <c:pt idx="12">
                  <c:v>0.49335062215152981</c:v>
                </c:pt>
                <c:pt idx="13">
                  <c:v>0.48602431464046908</c:v>
                </c:pt>
                <c:pt idx="14">
                  <c:v>0.49442571366178906</c:v>
                </c:pt>
                <c:pt idx="15">
                  <c:v>0.49170472063286963</c:v>
                </c:pt>
                <c:pt idx="16">
                  <c:v>0.48950425401711539</c:v>
                </c:pt>
                <c:pt idx="17">
                  <c:v>0.47777945590093845</c:v>
                </c:pt>
                <c:pt idx="18">
                  <c:v>0.48482644328080654</c:v>
                </c:pt>
                <c:pt idx="19">
                  <c:v>0.48369625922048654</c:v>
                </c:pt>
                <c:pt idx="20">
                  <c:v>0.50313450707532781</c:v>
                </c:pt>
              </c:numCache>
            </c:numRef>
          </c:val>
          <c:smooth val="0"/>
          <c:extLst xmlns:c16r2="http://schemas.microsoft.com/office/drawing/2015/06/chart">
            <c:ext xmlns:c16="http://schemas.microsoft.com/office/drawing/2014/chart" uri="{C3380CC4-5D6E-409C-BE32-E72D297353CC}">
              <c16:uniqueId val="{00000000-C844-4FBE-8CA4-882B7530E37A}"/>
            </c:ext>
          </c:extLst>
        </c:ser>
        <c:ser>
          <c:idx val="1"/>
          <c:order val="1"/>
          <c:tx>
            <c:strRef>
              <c:f>'[figg 1 2 entrate piem cpt.xlsx]trib e contrib'!$G$29</c:f>
              <c:strCache>
                <c:ptCount val="1"/>
                <c:pt idx="0">
                  <c:v>Centro-Nord</c:v>
                </c:pt>
              </c:strCache>
            </c:strRef>
          </c:tx>
          <c:spPr>
            <a:ln w="28575" cap="rnd">
              <a:solidFill>
                <a:schemeClr val="accent2"/>
              </a:solidFill>
              <a:round/>
            </a:ln>
            <a:effectLst/>
          </c:spPr>
          <c:marker>
            <c:symbol val="none"/>
          </c:marker>
          <c:cat>
            <c:numRef>
              <c:f>'[figg 1 2 entrate piem cpt.xlsx]trib e contrib'!$E$30:$E$50</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'[figg 1 2 entrate piem cpt.xlsx]trib e contrib'!$G$30:$G$50</c:f>
              <c:numCache>
                <c:formatCode>General</c:formatCode>
                <c:ptCount val="21"/>
                <c:pt idx="0">
                  <c:v>0.43495093822329867</c:v>
                </c:pt>
                <c:pt idx="1">
                  <c:v>0.43843695618422029</c:v>
                </c:pt>
                <c:pt idx="2">
                  <c:v>0.42057963656640812</c:v>
                </c:pt>
                <c:pt idx="3">
                  <c:v>0.43994322802179142</c:v>
                </c:pt>
                <c:pt idx="4">
                  <c:v>0.42666135636424019</c:v>
                </c:pt>
                <c:pt idx="5">
                  <c:v>0.40816581255991358</c:v>
                </c:pt>
                <c:pt idx="6">
                  <c:v>0.43544323549339825</c:v>
                </c:pt>
                <c:pt idx="7">
                  <c:v>0.45334794406025825</c:v>
                </c:pt>
                <c:pt idx="8">
                  <c:v>0.44396477925596561</c:v>
                </c:pt>
                <c:pt idx="9">
                  <c:v>0.45897840574737719</c:v>
                </c:pt>
                <c:pt idx="10">
                  <c:v>0.45742952878963977</c:v>
                </c:pt>
                <c:pt idx="11">
                  <c:v>0.44596249773000385</c:v>
                </c:pt>
                <c:pt idx="12">
                  <c:v>0.46411382758219816</c:v>
                </c:pt>
                <c:pt idx="13">
                  <c:v>0.48437039114578051</c:v>
                </c:pt>
                <c:pt idx="14">
                  <c:v>0.46517113747519723</c:v>
                </c:pt>
                <c:pt idx="15">
                  <c:v>0.4721196506781738</c:v>
                </c:pt>
                <c:pt idx="16">
                  <c:v>0.46196619036184861</c:v>
                </c:pt>
                <c:pt idx="17">
                  <c:v>0.46167906315053125</c:v>
                </c:pt>
                <c:pt idx="18">
                  <c:v>0.46553086581348807</c:v>
                </c:pt>
                <c:pt idx="19">
                  <c:v>0.46047635292285283</c:v>
                </c:pt>
                <c:pt idx="20">
                  <c:v>0.47571400253108342</c:v>
                </c:pt>
              </c:numCache>
            </c:numRef>
          </c:val>
          <c:smooth val="0"/>
          <c:extLst xmlns:c16r2="http://schemas.microsoft.com/office/drawing/2015/06/chart">
            <c:ext xmlns:c16="http://schemas.microsoft.com/office/drawing/2014/chart" uri="{C3380CC4-5D6E-409C-BE32-E72D297353CC}">
              <c16:uniqueId val="{00000001-C844-4FBE-8CA4-882B7530E37A}"/>
            </c:ext>
          </c:extLst>
        </c:ser>
        <c:ser>
          <c:idx val="2"/>
          <c:order val="2"/>
          <c:tx>
            <c:strRef>
              <c:f>'[figg 1 2 entrate piem cpt.xlsx]trib e contrib'!$H$29</c:f>
              <c:strCache>
                <c:ptCount val="1"/>
                <c:pt idx="0">
                  <c:v>Mezzogiorno</c:v>
                </c:pt>
              </c:strCache>
            </c:strRef>
          </c:tx>
          <c:spPr>
            <a:ln w="28575" cap="rnd">
              <a:solidFill>
                <a:schemeClr val="accent3"/>
              </a:solidFill>
              <a:prstDash val="dash"/>
              <a:round/>
            </a:ln>
            <a:effectLst/>
          </c:spPr>
          <c:marker>
            <c:symbol val="none"/>
          </c:marker>
          <c:cat>
            <c:numRef>
              <c:f>'[figg 1 2 entrate piem cpt.xlsx]trib e contrib'!$E$30:$E$50</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'[figg 1 2 entrate piem cpt.xlsx]trib e contrib'!$H$30:$H$50</c:f>
              <c:numCache>
                <c:formatCode>General</c:formatCode>
                <c:ptCount val="21"/>
                <c:pt idx="0">
                  <c:v>0.37428251204743113</c:v>
                </c:pt>
                <c:pt idx="1">
                  <c:v>0.38059664984227481</c:v>
                </c:pt>
                <c:pt idx="2">
                  <c:v>0.37626535764487462</c:v>
                </c:pt>
                <c:pt idx="3">
                  <c:v>0.40415419176545397</c:v>
                </c:pt>
                <c:pt idx="4">
                  <c:v>0.41854390642363176</c:v>
                </c:pt>
                <c:pt idx="5">
                  <c:v>0.40833520451454347</c:v>
                </c:pt>
                <c:pt idx="6">
                  <c:v>0.4269600803131377</c:v>
                </c:pt>
                <c:pt idx="7">
                  <c:v>0.42811455767070206</c:v>
                </c:pt>
                <c:pt idx="8">
                  <c:v>0.43931206014356294</c:v>
                </c:pt>
                <c:pt idx="9">
                  <c:v>0.4455919533146922</c:v>
                </c:pt>
                <c:pt idx="10">
                  <c:v>0.42543458729243117</c:v>
                </c:pt>
                <c:pt idx="11">
                  <c:v>0.44573926581517109</c:v>
                </c:pt>
                <c:pt idx="12">
                  <c:v>0.47769909943422195</c:v>
                </c:pt>
                <c:pt idx="13">
                  <c:v>0.47715087416661034</c:v>
                </c:pt>
                <c:pt idx="14">
                  <c:v>0.47302413981419017</c:v>
                </c:pt>
                <c:pt idx="15">
                  <c:v>0.475195713952351</c:v>
                </c:pt>
                <c:pt idx="16">
                  <c:v>0.47535055594238146</c:v>
                </c:pt>
                <c:pt idx="17">
                  <c:v>0.47206454660174019</c:v>
                </c:pt>
                <c:pt idx="18">
                  <c:v>0.47821810030510542</c:v>
                </c:pt>
                <c:pt idx="19">
                  <c:v>0.47406874256915821</c:v>
                </c:pt>
                <c:pt idx="20">
                  <c:v>0.48892267002389594</c:v>
                </c:pt>
              </c:numCache>
            </c:numRef>
          </c:val>
          <c:smooth val="0"/>
          <c:extLst xmlns:c16r2="http://schemas.microsoft.com/office/drawing/2015/06/chart">
            <c:ext xmlns:c16="http://schemas.microsoft.com/office/drawing/2014/chart" uri="{C3380CC4-5D6E-409C-BE32-E72D297353CC}">
              <c16:uniqueId val="{00000002-C844-4FBE-8CA4-882B7530E37A}"/>
            </c:ext>
          </c:extLst>
        </c:ser>
        <c:dLbls>
          <c:showLegendKey val="0"/>
          <c:showVal val="0"/>
          <c:showCatName val="0"/>
          <c:showSerName val="0"/>
          <c:showPercent val="0"/>
          <c:showBubbleSize val="0"/>
        </c:dLbls>
        <c:marker val="1"/>
        <c:smooth val="0"/>
        <c:axId val="41325568"/>
        <c:axId val="244249664"/>
      </c:lineChart>
      <c:catAx>
        <c:axId val="4132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244249664"/>
        <c:crosses val="autoZero"/>
        <c:auto val="1"/>
        <c:lblAlgn val="ctr"/>
        <c:lblOffset val="100"/>
        <c:noMultiLvlLbl val="0"/>
      </c:catAx>
      <c:valAx>
        <c:axId val="244249664"/>
        <c:scaling>
          <c:orientation val="minMax"/>
          <c:min val="0.36000000000000004"/>
        </c:scaling>
        <c:delete val="0"/>
        <c:axPos val="l"/>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4132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'entrate dettaglio'!$F$58</c:f>
              <c:strCache>
                <c:ptCount val="1"/>
                <c:pt idx="0">
                  <c:v>Piemonte</c:v>
                </c:pt>
              </c:strCache>
            </c:strRef>
          </c:tx>
          <c:spPr>
            <a:ln w="28575" cap="rnd">
              <a:solidFill>
                <a:schemeClr val="accent1"/>
              </a:solidFill>
              <a:round/>
            </a:ln>
            <a:effectLst/>
          </c:spPr>
          <c:marker>
            <c:symbol val="none"/>
          </c:marker>
          <c:cat>
            <c:numRef>
              <c:f>'entrate dettaglio'!$E$59:$E$79</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'entrate dettaglio'!$F$59:$F$79</c:f>
              <c:numCache>
                <c:formatCode>_-* #,##0\ _€_-;\-* #,##0\ _€_-;_-* "-"??\ _€_-;_-@_-</c:formatCode>
                <c:ptCount val="21"/>
                <c:pt idx="0">
                  <c:v>5062.4991357464187</c:v>
                </c:pt>
                <c:pt idx="1">
                  <c:v>5271.9757982384108</c:v>
                </c:pt>
                <c:pt idx="2">
                  <c:v>4965.2503259770101</c:v>
                </c:pt>
                <c:pt idx="3">
                  <c:v>4910.6359751280334</c:v>
                </c:pt>
                <c:pt idx="4">
                  <c:v>4811.1641311560243</c:v>
                </c:pt>
                <c:pt idx="5">
                  <c:v>4746.1086927261513</c:v>
                </c:pt>
                <c:pt idx="6">
                  <c:v>5109.0693832711349</c:v>
                </c:pt>
                <c:pt idx="7">
                  <c:v>5274.6482164389527</c:v>
                </c:pt>
                <c:pt idx="8">
                  <c:v>5173.5863717320408</c:v>
                </c:pt>
                <c:pt idx="9">
                  <c:v>5065.7731915228023</c:v>
                </c:pt>
                <c:pt idx="10">
                  <c:v>4506.9032787845053</c:v>
                </c:pt>
                <c:pt idx="11">
                  <c:v>4872.5052634419544</c:v>
                </c:pt>
                <c:pt idx="12">
                  <c:v>5083.8780287316322</c:v>
                </c:pt>
                <c:pt idx="13">
                  <c:v>4996.9144619000554</c:v>
                </c:pt>
                <c:pt idx="14">
                  <c:v>5037.9758174186054</c:v>
                </c:pt>
                <c:pt idx="15">
                  <c:v>5397.745720833941</c:v>
                </c:pt>
                <c:pt idx="16">
                  <c:v>5375.9539875926666</c:v>
                </c:pt>
                <c:pt idx="17">
                  <c:v>5311.8572287174538</c:v>
                </c:pt>
                <c:pt idx="18">
                  <c:v>5558.5488700653132</c:v>
                </c:pt>
                <c:pt idx="19">
                  <c:v>5453.9348230261012</c:v>
                </c:pt>
                <c:pt idx="20">
                  <c:v>5455.3554340372466</c:v>
                </c:pt>
              </c:numCache>
            </c:numRef>
          </c:val>
          <c:smooth val="0"/>
          <c:extLst xmlns:c16r2="http://schemas.microsoft.com/office/drawing/2015/06/chart">
            <c:ext xmlns:c16="http://schemas.microsoft.com/office/drawing/2014/chart" uri="{C3380CC4-5D6E-409C-BE32-E72D297353CC}">
              <c16:uniqueId val="{00000000-85F1-4C0C-A7D3-F1E226B577F8}"/>
            </c:ext>
          </c:extLst>
        </c:ser>
        <c:ser>
          <c:idx val="1"/>
          <c:order val="1"/>
          <c:tx>
            <c:strRef>
              <c:f>'entrate dettaglio'!$G$58</c:f>
              <c:strCache>
                <c:ptCount val="1"/>
                <c:pt idx="0">
                  <c:v>Centro-Nord</c:v>
                </c:pt>
              </c:strCache>
            </c:strRef>
          </c:tx>
          <c:spPr>
            <a:ln w="28575" cap="rnd">
              <a:solidFill>
                <a:schemeClr val="accent2"/>
              </a:solidFill>
              <a:round/>
            </a:ln>
            <a:effectLst/>
          </c:spPr>
          <c:marker>
            <c:symbol val="none"/>
          </c:marker>
          <c:cat>
            <c:numRef>
              <c:f>'entrate dettaglio'!$E$59:$E$79</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'entrate dettaglio'!$G$59:$G$79</c:f>
              <c:numCache>
                <c:formatCode>_-* #,##0\ _€_-;\-* #,##0\ _€_-;_-* "-"??\ _€_-;_-@_-</c:formatCode>
                <c:ptCount val="21"/>
                <c:pt idx="0">
                  <c:v>5317.9068724063818</c:v>
                </c:pt>
                <c:pt idx="1">
                  <c:v>5538.3353194410274</c:v>
                </c:pt>
                <c:pt idx="2">
                  <c:v>5274.5406922212815</c:v>
                </c:pt>
                <c:pt idx="3">
                  <c:v>5264.3250192361038</c:v>
                </c:pt>
                <c:pt idx="4">
                  <c:v>5168.1990876242717</c:v>
                </c:pt>
                <c:pt idx="5">
                  <c:v>5002.1800575607831</c:v>
                </c:pt>
                <c:pt idx="6">
                  <c:v>5495.6771796485973</c:v>
                </c:pt>
                <c:pt idx="7">
                  <c:v>5788.936607507495</c:v>
                </c:pt>
                <c:pt idx="8">
                  <c:v>5622.8018239166149</c:v>
                </c:pt>
                <c:pt idx="9">
                  <c:v>5457.373937761844</c:v>
                </c:pt>
                <c:pt idx="10">
                  <c:v>5310.5169725476771</c:v>
                </c:pt>
                <c:pt idx="11">
                  <c:v>5284.0001736161503</c:v>
                </c:pt>
                <c:pt idx="12">
                  <c:v>5488.0460011969162</c:v>
                </c:pt>
                <c:pt idx="13">
                  <c:v>5432.424263346019</c:v>
                </c:pt>
                <c:pt idx="14">
                  <c:v>5233.2427457234835</c:v>
                </c:pt>
                <c:pt idx="15">
                  <c:v>5572.3187420661761</c:v>
                </c:pt>
                <c:pt idx="16">
                  <c:v>5556.5937952485901</c:v>
                </c:pt>
                <c:pt idx="17">
                  <c:v>5511.1057854278952</c:v>
                </c:pt>
                <c:pt idx="18">
                  <c:v>5737.9564654586065</c:v>
                </c:pt>
                <c:pt idx="19">
                  <c:v>5621.0028552997528</c:v>
                </c:pt>
                <c:pt idx="20">
                  <c:v>5603.0870643848375</c:v>
                </c:pt>
              </c:numCache>
            </c:numRef>
          </c:val>
          <c:smooth val="0"/>
          <c:extLst xmlns:c16r2="http://schemas.microsoft.com/office/drawing/2015/06/chart">
            <c:ext xmlns:c16="http://schemas.microsoft.com/office/drawing/2014/chart" uri="{C3380CC4-5D6E-409C-BE32-E72D297353CC}">
              <c16:uniqueId val="{00000001-85F1-4C0C-A7D3-F1E226B577F8}"/>
            </c:ext>
          </c:extLst>
        </c:ser>
        <c:ser>
          <c:idx val="2"/>
          <c:order val="2"/>
          <c:tx>
            <c:strRef>
              <c:f>'entrate dettaglio'!$H$58</c:f>
              <c:strCache>
                <c:ptCount val="1"/>
                <c:pt idx="0">
                  <c:v>Mezzogiorno</c:v>
                </c:pt>
              </c:strCache>
            </c:strRef>
          </c:tx>
          <c:spPr>
            <a:ln w="28575" cap="rnd">
              <a:solidFill>
                <a:schemeClr val="accent3"/>
              </a:solidFill>
              <a:prstDash val="dash"/>
              <a:round/>
            </a:ln>
            <a:effectLst/>
          </c:spPr>
          <c:marker>
            <c:symbol val="none"/>
          </c:marker>
          <c:cat>
            <c:numRef>
              <c:f>'entrate dettaglio'!$E$59:$E$79</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'entrate dettaglio'!$H$59:$H$79</c:f>
              <c:numCache>
                <c:formatCode>_-* #,##0\ _€_-;\-* #,##0\ _€_-;_-* "-"??\ _€_-;_-@_-</c:formatCode>
                <c:ptCount val="21"/>
                <c:pt idx="0">
                  <c:v>2051.6246803633512</c:v>
                </c:pt>
                <c:pt idx="1">
                  <c:v>2251.3878495332433</c:v>
                </c:pt>
                <c:pt idx="2">
                  <c:v>2202.7256679795164</c:v>
                </c:pt>
                <c:pt idx="3">
                  <c:v>2200.9592061030871</c:v>
                </c:pt>
                <c:pt idx="4">
                  <c:v>2232.5011101227137</c:v>
                </c:pt>
                <c:pt idx="5">
                  <c:v>2225.2641154125818</c:v>
                </c:pt>
                <c:pt idx="6">
                  <c:v>2392.3980718351067</c:v>
                </c:pt>
                <c:pt idx="7">
                  <c:v>2454.1799554052282</c:v>
                </c:pt>
                <c:pt idx="8">
                  <c:v>2508.1302011434391</c:v>
                </c:pt>
                <c:pt idx="9">
                  <c:v>2567.4134046850431</c:v>
                </c:pt>
                <c:pt idx="10">
                  <c:v>2324.9577951865404</c:v>
                </c:pt>
                <c:pt idx="11">
                  <c:v>2477.2363344369955</c:v>
                </c:pt>
                <c:pt idx="12">
                  <c:v>2738.9682189888099</c:v>
                </c:pt>
                <c:pt idx="13">
                  <c:v>2688.1720395491789</c:v>
                </c:pt>
                <c:pt idx="14">
                  <c:v>2445.6210368966485</c:v>
                </c:pt>
                <c:pt idx="15">
                  <c:v>2628.4869336094271</c:v>
                </c:pt>
                <c:pt idx="16">
                  <c:v>2633.4911763322925</c:v>
                </c:pt>
                <c:pt idx="17">
                  <c:v>2614.6670084937969</c:v>
                </c:pt>
                <c:pt idx="18">
                  <c:v>2742.0175771703439</c:v>
                </c:pt>
                <c:pt idx="19">
                  <c:v>2718.6927461682858</c:v>
                </c:pt>
                <c:pt idx="20">
                  <c:v>2716.3674580940979</c:v>
                </c:pt>
              </c:numCache>
            </c:numRef>
          </c:val>
          <c:smooth val="0"/>
          <c:extLst xmlns:c16r2="http://schemas.microsoft.com/office/drawing/2015/06/chart">
            <c:ext xmlns:c16="http://schemas.microsoft.com/office/drawing/2014/chart" uri="{C3380CC4-5D6E-409C-BE32-E72D297353CC}">
              <c16:uniqueId val="{00000002-85F1-4C0C-A7D3-F1E226B577F8}"/>
            </c:ext>
          </c:extLst>
        </c:ser>
        <c:dLbls>
          <c:showLegendKey val="0"/>
          <c:showVal val="0"/>
          <c:showCatName val="0"/>
          <c:showSerName val="0"/>
          <c:showPercent val="0"/>
          <c:showBubbleSize val="0"/>
        </c:dLbls>
        <c:marker val="1"/>
        <c:smooth val="0"/>
        <c:axId val="41334272"/>
        <c:axId val="244251392"/>
      </c:lineChart>
      <c:catAx>
        <c:axId val="4133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244251392"/>
        <c:crosses val="autoZero"/>
        <c:auto val="1"/>
        <c:lblAlgn val="ctr"/>
        <c:lblOffset val="100"/>
        <c:noMultiLvlLbl val="0"/>
      </c:catAx>
      <c:valAx>
        <c:axId val="244251392"/>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4133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'entrate dettaglio'!$K$58</c:f>
              <c:strCache>
                <c:ptCount val="1"/>
                <c:pt idx="0">
                  <c:v>Piemonte</c:v>
                </c:pt>
              </c:strCache>
            </c:strRef>
          </c:tx>
          <c:spPr>
            <a:ln w="28575" cap="rnd">
              <a:solidFill>
                <a:schemeClr val="accent1"/>
              </a:solidFill>
              <a:round/>
            </a:ln>
            <a:effectLst/>
          </c:spPr>
          <c:marker>
            <c:symbol val="none"/>
          </c:marker>
          <c:cat>
            <c:numRef>
              <c:f>'entrate dettaglio'!$E$59:$E$79</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'entrate dettaglio'!$K$59:$K$79</c:f>
              <c:numCache>
                <c:formatCode>_-* #,##0\ _€_-;\-* #,##0\ _€_-;_-* "-"??\ _€_-;_-@_-</c:formatCode>
                <c:ptCount val="21"/>
                <c:pt idx="0">
                  <c:v>5378.3435378357835</c:v>
                </c:pt>
                <c:pt idx="1">
                  <c:v>5242.8488601265972</c:v>
                </c:pt>
                <c:pt idx="2">
                  <c:v>5047.4819231783449</c:v>
                </c:pt>
                <c:pt idx="3">
                  <c:v>5215.5772811198804</c:v>
                </c:pt>
                <c:pt idx="4">
                  <c:v>5351.7535876661377</c:v>
                </c:pt>
                <c:pt idx="5">
                  <c:v>5064.6754107781635</c:v>
                </c:pt>
                <c:pt idx="6">
                  <c:v>5258.5814075560784</c:v>
                </c:pt>
                <c:pt idx="7">
                  <c:v>5197.1058612961697</c:v>
                </c:pt>
                <c:pt idx="8">
                  <c:v>4917.4196928189876</c:v>
                </c:pt>
                <c:pt idx="9">
                  <c:v>4973.6857107523228</c:v>
                </c:pt>
                <c:pt idx="10">
                  <c:v>4335.4463014996072</c:v>
                </c:pt>
                <c:pt idx="11">
                  <c:v>4961.3194524466016</c:v>
                </c:pt>
                <c:pt idx="12">
                  <c:v>4726.6172191275136</c:v>
                </c:pt>
                <c:pt idx="13">
                  <c:v>4463.001987732132</c:v>
                </c:pt>
                <c:pt idx="14">
                  <c:v>4546.5272226606758</c:v>
                </c:pt>
                <c:pt idx="15">
                  <c:v>4269.7433340462812</c:v>
                </c:pt>
                <c:pt idx="16">
                  <c:v>4408.0934189833315</c:v>
                </c:pt>
                <c:pt idx="17">
                  <c:v>4562.2542566067432</c:v>
                </c:pt>
                <c:pt idx="18">
                  <c:v>4706.4446140506961</c:v>
                </c:pt>
                <c:pt idx="19">
                  <c:v>4708.5309688141879</c:v>
                </c:pt>
                <c:pt idx="20">
                  <c:v>4146.4175763644735</c:v>
                </c:pt>
              </c:numCache>
            </c:numRef>
          </c:val>
          <c:smooth val="0"/>
          <c:extLst xmlns:c16r2="http://schemas.microsoft.com/office/drawing/2015/06/chart">
            <c:ext xmlns:c16="http://schemas.microsoft.com/office/drawing/2014/chart" uri="{C3380CC4-5D6E-409C-BE32-E72D297353CC}">
              <c16:uniqueId val="{00000000-E2AE-4EF2-AFAE-2F46630FFCC5}"/>
            </c:ext>
          </c:extLst>
        </c:ser>
        <c:ser>
          <c:idx val="1"/>
          <c:order val="1"/>
          <c:tx>
            <c:strRef>
              <c:f>'entrate dettaglio'!$L$58</c:f>
              <c:strCache>
                <c:ptCount val="1"/>
                <c:pt idx="0">
                  <c:v>Centro-Nord</c:v>
                </c:pt>
              </c:strCache>
            </c:strRef>
          </c:tx>
          <c:spPr>
            <a:ln w="28575" cap="rnd">
              <a:solidFill>
                <a:schemeClr val="accent2"/>
              </a:solidFill>
              <a:round/>
            </a:ln>
            <a:effectLst/>
          </c:spPr>
          <c:marker>
            <c:symbol val="none"/>
          </c:marker>
          <c:cat>
            <c:numRef>
              <c:f>'entrate dettaglio'!$E$59:$E$79</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'entrate dettaglio'!$L$59:$L$79</c:f>
              <c:numCache>
                <c:formatCode>_-* #,##0\ _€_-;\-* #,##0\ _€_-;_-* "-"??\ _€_-;_-@_-</c:formatCode>
                <c:ptCount val="21"/>
                <c:pt idx="0">
                  <c:v>5303.0988672736657</c:v>
                </c:pt>
                <c:pt idx="1">
                  <c:v>5555.187997729925</c:v>
                </c:pt>
                <c:pt idx="2">
                  <c:v>5093.4559247347233</c:v>
                </c:pt>
                <c:pt idx="3">
                  <c:v>5589.5335308846825</c:v>
                </c:pt>
                <c:pt idx="4">
                  <c:v>5310.1956887670385</c:v>
                </c:pt>
                <c:pt idx="5">
                  <c:v>4812.0112478130814</c:v>
                </c:pt>
                <c:pt idx="6">
                  <c:v>5377.5605122066254</c:v>
                </c:pt>
                <c:pt idx="7">
                  <c:v>5593.9259464738307</c:v>
                </c:pt>
                <c:pt idx="8">
                  <c:v>4978.7636136927158</c:v>
                </c:pt>
                <c:pt idx="9">
                  <c:v>4805.6643040196377</c:v>
                </c:pt>
                <c:pt idx="10">
                  <c:v>5168.2951855661295</c:v>
                </c:pt>
                <c:pt idx="11">
                  <c:v>5226.5912548192618</c:v>
                </c:pt>
                <c:pt idx="12">
                  <c:v>4895.3572461829453</c:v>
                </c:pt>
                <c:pt idx="13">
                  <c:v>5220.7880055023061</c:v>
                </c:pt>
                <c:pt idx="14">
                  <c:v>4899.5286421764386</c:v>
                </c:pt>
                <c:pt idx="15">
                  <c:v>4863.3706759020761</c:v>
                </c:pt>
                <c:pt idx="16">
                  <c:v>4731.2328112728237</c:v>
                </c:pt>
                <c:pt idx="17">
                  <c:v>5039.8875549592231</c:v>
                </c:pt>
                <c:pt idx="18">
                  <c:v>5103.5528831969923</c:v>
                </c:pt>
                <c:pt idx="19">
                  <c:v>5106.1364928632847</c:v>
                </c:pt>
                <c:pt idx="20">
                  <c:v>4468.9999579198939</c:v>
                </c:pt>
              </c:numCache>
            </c:numRef>
          </c:val>
          <c:smooth val="0"/>
          <c:extLst xmlns:c16r2="http://schemas.microsoft.com/office/drawing/2015/06/chart">
            <c:ext xmlns:c16="http://schemas.microsoft.com/office/drawing/2014/chart" uri="{C3380CC4-5D6E-409C-BE32-E72D297353CC}">
              <c16:uniqueId val="{00000001-E2AE-4EF2-AFAE-2F46630FFCC5}"/>
            </c:ext>
          </c:extLst>
        </c:ser>
        <c:ser>
          <c:idx val="2"/>
          <c:order val="2"/>
          <c:tx>
            <c:strRef>
              <c:f>'entrate dettaglio'!$M$58</c:f>
              <c:strCache>
                <c:ptCount val="1"/>
                <c:pt idx="0">
                  <c:v>Mezzogiorno</c:v>
                </c:pt>
              </c:strCache>
            </c:strRef>
          </c:tx>
          <c:spPr>
            <a:ln w="28575" cap="rnd">
              <a:solidFill>
                <a:schemeClr val="accent3"/>
              </a:solidFill>
              <a:prstDash val="dash"/>
              <a:round/>
            </a:ln>
            <a:effectLst/>
          </c:spPr>
          <c:marker>
            <c:symbol val="none"/>
          </c:marker>
          <c:cat>
            <c:numRef>
              <c:f>'entrate dettaglio'!$E$59:$E$79</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'entrate dettaglio'!$M$59:$M$79</c:f>
              <c:numCache>
                <c:formatCode>_-* #,##0\ _€_-;\-* #,##0\ _€_-;_-* "-"??\ _€_-;_-@_-</c:formatCode>
                <c:ptCount val="21"/>
                <c:pt idx="0">
                  <c:v>3242.5388574672179</c:v>
                </c:pt>
                <c:pt idx="1">
                  <c:v>3301.0822376203696</c:v>
                </c:pt>
                <c:pt idx="2">
                  <c:v>3196.0496756382636</c:v>
                </c:pt>
                <c:pt idx="3">
                  <c:v>3343.2053622898634</c:v>
                </c:pt>
                <c:pt idx="4">
                  <c:v>3588.1866816088227</c:v>
                </c:pt>
                <c:pt idx="5">
                  <c:v>3373.0000980512855</c:v>
                </c:pt>
                <c:pt idx="6">
                  <c:v>3653.8613010268359</c:v>
                </c:pt>
                <c:pt idx="7">
                  <c:v>3562.1852517274201</c:v>
                </c:pt>
                <c:pt idx="8">
                  <c:v>3504.567786351146</c:v>
                </c:pt>
                <c:pt idx="9">
                  <c:v>3248.5210625831028</c:v>
                </c:pt>
                <c:pt idx="10">
                  <c:v>3077.347898933991</c:v>
                </c:pt>
                <c:pt idx="11">
                  <c:v>3295.992131533701</c:v>
                </c:pt>
                <c:pt idx="12">
                  <c:v>3405.1536124415579</c:v>
                </c:pt>
                <c:pt idx="13">
                  <c:v>3075.3890378768056</c:v>
                </c:pt>
                <c:pt idx="14">
                  <c:v>3138.1516566527571</c:v>
                </c:pt>
                <c:pt idx="15">
                  <c:v>3149.2810354662943</c:v>
                </c:pt>
                <c:pt idx="16">
                  <c:v>3200.3259517855217</c:v>
                </c:pt>
                <c:pt idx="17">
                  <c:v>3249.7219625212165</c:v>
                </c:pt>
                <c:pt idx="18">
                  <c:v>3343.0968318731652</c:v>
                </c:pt>
                <c:pt idx="19">
                  <c:v>3362.2422744885985</c:v>
                </c:pt>
                <c:pt idx="20">
                  <c:v>3041.217400275877</c:v>
                </c:pt>
              </c:numCache>
            </c:numRef>
          </c:val>
          <c:smooth val="0"/>
          <c:extLst xmlns:c16r2="http://schemas.microsoft.com/office/drawing/2015/06/chart">
            <c:ext xmlns:c16="http://schemas.microsoft.com/office/drawing/2014/chart" uri="{C3380CC4-5D6E-409C-BE32-E72D297353CC}">
              <c16:uniqueId val="{00000002-E2AE-4EF2-AFAE-2F46630FFCC5}"/>
            </c:ext>
          </c:extLst>
        </c:ser>
        <c:dLbls>
          <c:showLegendKey val="0"/>
          <c:showVal val="0"/>
          <c:showCatName val="0"/>
          <c:showSerName val="0"/>
          <c:showPercent val="0"/>
          <c:showBubbleSize val="0"/>
        </c:dLbls>
        <c:marker val="1"/>
        <c:smooth val="0"/>
        <c:axId val="191652864"/>
        <c:axId val="235036672"/>
      </c:lineChart>
      <c:catAx>
        <c:axId val="19165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235036672"/>
        <c:crosses val="autoZero"/>
        <c:auto val="1"/>
        <c:lblAlgn val="ctr"/>
        <c:lblOffset val="100"/>
        <c:noMultiLvlLbl val="0"/>
      </c:catAx>
      <c:valAx>
        <c:axId val="235036672"/>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19165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'entrate dettaglio'!$P$58</c:f>
              <c:strCache>
                <c:ptCount val="1"/>
                <c:pt idx="0">
                  <c:v>Piemonte</c:v>
                </c:pt>
              </c:strCache>
            </c:strRef>
          </c:tx>
          <c:spPr>
            <a:ln w="28575" cap="rnd">
              <a:solidFill>
                <a:schemeClr val="accent1"/>
              </a:solidFill>
              <a:round/>
            </a:ln>
            <a:effectLst/>
          </c:spPr>
          <c:marker>
            <c:symbol val="none"/>
          </c:marker>
          <c:cat>
            <c:numRef>
              <c:f>'entrate dettaglio'!$E$59:$E$79</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'entrate dettaglio'!$P$59:$P$79</c:f>
              <c:numCache>
                <c:formatCode>_-* #,##0\ _€_-;\-* #,##0\ _€_-;_-* "-"??\ _€_-;_-@_-</c:formatCode>
                <c:ptCount val="21"/>
                <c:pt idx="0">
                  <c:v>729.94461915648162</c:v>
                </c:pt>
                <c:pt idx="1">
                  <c:v>265.20843649178403</c:v>
                </c:pt>
                <c:pt idx="2">
                  <c:v>146.41957055633384</c:v>
                </c:pt>
                <c:pt idx="3">
                  <c:v>92.449556387453555</c:v>
                </c:pt>
                <c:pt idx="4">
                  <c:v>92.149037351496446</c:v>
                </c:pt>
                <c:pt idx="5">
                  <c:v>126.62357784756442</c:v>
                </c:pt>
                <c:pt idx="6">
                  <c:v>125.16067882347286</c:v>
                </c:pt>
                <c:pt idx="7">
                  <c:v>196.50798795142009</c:v>
                </c:pt>
                <c:pt idx="8">
                  <c:v>170.12409106761604</c:v>
                </c:pt>
                <c:pt idx="9">
                  <c:v>141.85799909812772</c:v>
                </c:pt>
                <c:pt idx="10">
                  <c:v>137.26123425597211</c:v>
                </c:pt>
                <c:pt idx="11">
                  <c:v>191.58833183658345</c:v>
                </c:pt>
                <c:pt idx="12">
                  <c:v>314.9660444459596</c:v>
                </c:pt>
                <c:pt idx="13">
                  <c:v>385.01533158747253</c:v>
                </c:pt>
                <c:pt idx="14">
                  <c:v>413.839434415293</c:v>
                </c:pt>
                <c:pt idx="15">
                  <c:v>368.96213335948994</c:v>
                </c:pt>
                <c:pt idx="16">
                  <c:v>358.59177861367948</c:v>
                </c:pt>
                <c:pt idx="17">
                  <c:v>323.63098376755829</c:v>
                </c:pt>
                <c:pt idx="18">
                  <c:v>327.59423175897933</c:v>
                </c:pt>
                <c:pt idx="19">
                  <c:v>315.85287679222256</c:v>
                </c:pt>
                <c:pt idx="20">
                  <c:v>316.04267824360466</c:v>
                </c:pt>
              </c:numCache>
            </c:numRef>
          </c:val>
          <c:smooth val="0"/>
          <c:extLst xmlns:c16r2="http://schemas.microsoft.com/office/drawing/2015/06/chart">
            <c:ext xmlns:c16="http://schemas.microsoft.com/office/drawing/2014/chart" uri="{C3380CC4-5D6E-409C-BE32-E72D297353CC}">
              <c16:uniqueId val="{00000000-19A5-4D26-9E82-D458BE224191}"/>
            </c:ext>
          </c:extLst>
        </c:ser>
        <c:ser>
          <c:idx val="1"/>
          <c:order val="1"/>
          <c:tx>
            <c:strRef>
              <c:f>'entrate dettaglio'!$Q$58</c:f>
              <c:strCache>
                <c:ptCount val="1"/>
                <c:pt idx="0">
                  <c:v>Centro-Nord</c:v>
                </c:pt>
              </c:strCache>
            </c:strRef>
          </c:tx>
          <c:spPr>
            <a:ln w="28575" cap="rnd">
              <a:solidFill>
                <a:schemeClr val="accent2"/>
              </a:solidFill>
              <a:round/>
            </a:ln>
            <a:effectLst/>
          </c:spPr>
          <c:marker>
            <c:symbol val="none"/>
          </c:marker>
          <c:cat>
            <c:numRef>
              <c:f>'entrate dettaglio'!$E$59:$E$79</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'entrate dettaglio'!$Q$59:$Q$79</c:f>
              <c:numCache>
                <c:formatCode>_-* #,##0\ _€_-;\-* #,##0\ _€_-;_-* "-"??\ _€_-;_-@_-</c:formatCode>
                <c:ptCount val="21"/>
                <c:pt idx="0">
                  <c:v>193.58231952622535</c:v>
                </c:pt>
                <c:pt idx="1">
                  <c:v>129.61692272196078</c:v>
                </c:pt>
                <c:pt idx="2">
                  <c:v>156.33413278779395</c:v>
                </c:pt>
                <c:pt idx="3">
                  <c:v>120.9987117392064</c:v>
                </c:pt>
                <c:pt idx="4">
                  <c:v>132.60969339532335</c:v>
                </c:pt>
                <c:pt idx="5">
                  <c:v>156.11831340774091</c:v>
                </c:pt>
                <c:pt idx="6">
                  <c:v>151.05390259237336</c:v>
                </c:pt>
                <c:pt idx="7">
                  <c:v>166.89817632036184</c:v>
                </c:pt>
                <c:pt idx="8">
                  <c:v>153.02423291827529</c:v>
                </c:pt>
                <c:pt idx="9">
                  <c:v>140.7996244671894</c:v>
                </c:pt>
                <c:pt idx="10">
                  <c:v>166.32353536981626</c:v>
                </c:pt>
                <c:pt idx="11">
                  <c:v>229.96017213788735</c:v>
                </c:pt>
                <c:pt idx="12">
                  <c:v>350.26365626417191</c:v>
                </c:pt>
                <c:pt idx="13">
                  <c:v>371.70202942191372</c:v>
                </c:pt>
                <c:pt idx="14">
                  <c:v>411.31320280898939</c:v>
                </c:pt>
                <c:pt idx="15">
                  <c:v>353.36912677320828</c:v>
                </c:pt>
                <c:pt idx="16">
                  <c:v>338.69296126419812</c:v>
                </c:pt>
                <c:pt idx="17">
                  <c:v>299.39266198818871</c:v>
                </c:pt>
                <c:pt idx="18">
                  <c:v>305.85733607174569</c:v>
                </c:pt>
                <c:pt idx="19">
                  <c:v>300.00913835854669</c:v>
                </c:pt>
                <c:pt idx="20">
                  <c:v>295.14047829376904</c:v>
                </c:pt>
              </c:numCache>
            </c:numRef>
          </c:val>
          <c:smooth val="0"/>
          <c:extLst xmlns:c16r2="http://schemas.microsoft.com/office/drawing/2015/06/chart">
            <c:ext xmlns:c16="http://schemas.microsoft.com/office/drawing/2014/chart" uri="{C3380CC4-5D6E-409C-BE32-E72D297353CC}">
              <c16:uniqueId val="{00000001-19A5-4D26-9E82-D458BE224191}"/>
            </c:ext>
          </c:extLst>
        </c:ser>
        <c:ser>
          <c:idx val="2"/>
          <c:order val="2"/>
          <c:tx>
            <c:strRef>
              <c:f>'entrate dettaglio'!$R$58</c:f>
              <c:strCache>
                <c:ptCount val="1"/>
                <c:pt idx="0">
                  <c:v>Mezzogiorno</c:v>
                </c:pt>
              </c:strCache>
            </c:strRef>
          </c:tx>
          <c:spPr>
            <a:ln w="28575" cap="rnd">
              <a:solidFill>
                <a:schemeClr val="accent3"/>
              </a:solidFill>
              <a:prstDash val="dash"/>
              <a:round/>
            </a:ln>
            <a:effectLst/>
          </c:spPr>
          <c:marker>
            <c:symbol val="none"/>
          </c:marker>
          <c:cat>
            <c:numRef>
              <c:f>'entrate dettaglio'!$E$59:$E$79</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'entrate dettaglio'!$R$59:$R$79</c:f>
              <c:numCache>
                <c:formatCode>_-* #,##0\ _€_-;\-* #,##0\ _€_-;_-* "-"??\ _€_-;_-@_-</c:formatCode>
                <c:ptCount val="21"/>
                <c:pt idx="0">
                  <c:v>85.707558448599542</c:v>
                </c:pt>
                <c:pt idx="1">
                  <c:v>90.456141460220394</c:v>
                </c:pt>
                <c:pt idx="2">
                  <c:v>117.08011441788358</c:v>
                </c:pt>
                <c:pt idx="3">
                  <c:v>107.28213859507315</c:v>
                </c:pt>
                <c:pt idx="4">
                  <c:v>115.73691176484226</c:v>
                </c:pt>
                <c:pt idx="5">
                  <c:v>109.95870584889826</c:v>
                </c:pt>
                <c:pt idx="6">
                  <c:v>109.93598227589423</c:v>
                </c:pt>
                <c:pt idx="7">
                  <c:v>110.22405515489575</c:v>
                </c:pt>
                <c:pt idx="8">
                  <c:v>114.40849822838668</c:v>
                </c:pt>
                <c:pt idx="9">
                  <c:v>102.18662696666625</c:v>
                </c:pt>
                <c:pt idx="10">
                  <c:v>124.9226489828615</c:v>
                </c:pt>
                <c:pt idx="11">
                  <c:v>191.01078551028382</c:v>
                </c:pt>
                <c:pt idx="12">
                  <c:v>278.26221068685373</c:v>
                </c:pt>
                <c:pt idx="13">
                  <c:v>346.37770553526008</c:v>
                </c:pt>
                <c:pt idx="14">
                  <c:v>355.42014437012119</c:v>
                </c:pt>
                <c:pt idx="15">
                  <c:v>301.72953538257377</c:v>
                </c:pt>
                <c:pt idx="16">
                  <c:v>246.20816328162132</c:v>
                </c:pt>
                <c:pt idx="17">
                  <c:v>222.15535675107444</c:v>
                </c:pt>
                <c:pt idx="18">
                  <c:v>223.30036920810588</c:v>
                </c:pt>
                <c:pt idx="19">
                  <c:v>225.46885290095872</c:v>
                </c:pt>
                <c:pt idx="20">
                  <c:v>217.67950904678352</c:v>
                </c:pt>
              </c:numCache>
            </c:numRef>
          </c:val>
          <c:smooth val="0"/>
          <c:extLst xmlns:c16r2="http://schemas.microsoft.com/office/drawing/2015/06/chart">
            <c:ext xmlns:c16="http://schemas.microsoft.com/office/drawing/2014/chart" uri="{C3380CC4-5D6E-409C-BE32-E72D297353CC}">
              <c16:uniqueId val="{00000002-19A5-4D26-9E82-D458BE224191}"/>
            </c:ext>
          </c:extLst>
        </c:ser>
        <c:dLbls>
          <c:showLegendKey val="0"/>
          <c:showVal val="0"/>
          <c:showCatName val="0"/>
          <c:showSerName val="0"/>
          <c:showPercent val="0"/>
          <c:showBubbleSize val="0"/>
        </c:dLbls>
        <c:marker val="1"/>
        <c:smooth val="0"/>
        <c:axId val="223877120"/>
        <c:axId val="235038400"/>
      </c:lineChart>
      <c:catAx>
        <c:axId val="22387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235038400"/>
        <c:crosses val="autoZero"/>
        <c:auto val="1"/>
        <c:lblAlgn val="ctr"/>
        <c:lblOffset val="100"/>
        <c:noMultiLvlLbl val="0"/>
      </c:catAx>
      <c:valAx>
        <c:axId val="235038400"/>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t-IT"/>
          </a:p>
        </c:txPr>
        <c:crossAx val="22387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758</Words>
  <Characters>4325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STAZIONE GRAFICA 4°</dc:creator>
  <cp:lastModifiedBy>STAZIONE GRAFICA 4°</cp:lastModifiedBy>
  <cp:revision>12</cp:revision>
  <dcterms:created xsi:type="dcterms:W3CDTF">2023-03-28T13:35:00Z</dcterms:created>
  <dcterms:modified xsi:type="dcterms:W3CDTF">2023-03-29T09:03:00Z</dcterms:modified>
</cp:coreProperties>
</file>