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jc w:val="center"/>
        <w:rPr>
          <w:rFonts w:ascii="Times New Roman" w:hAnsi="Times New Roman"/>
          <w:sz w:val="20"/>
          <w:szCs w:val="20"/>
        </w:rPr>
      </w:pPr>
      <w:r>
        <w:rPr/>
        <w:drawing>
          <wp:inline distT="0" distB="0" distL="0" distR="0">
            <wp:extent cx="1377315" cy="542925"/>
            <wp:effectExtent l="0" t="0" r="0" b="0"/>
            <wp:docPr id="1" name="regpi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gpie" descr=""/>
                    <pic:cNvPicPr>
                      <a:picLocks noChangeAspect="1" noChangeArrowheads="1"/>
                    </pic:cNvPicPr>
                  </pic:nvPicPr>
                  <pic:blipFill>
                    <a:blip r:embed="rId2"/>
                    <a:srcRect l="-65" t="-216" r="-65" b="-216"/>
                    <a:stretch>
                      <a:fillRect/>
                    </a:stretch>
                  </pic:blipFill>
                  <pic:spPr bwMode="auto">
                    <a:xfrm>
                      <a:off x="0" y="0"/>
                      <a:ext cx="1377315" cy="542925"/>
                    </a:xfrm>
                    <a:prstGeom prst="rect">
                      <a:avLst/>
                    </a:prstGeom>
                  </pic:spPr>
                </pic:pic>
              </a:graphicData>
            </a:graphic>
          </wp:inline>
        </w:drawing>
      </w:r>
    </w:p>
    <w:p>
      <w:pPr>
        <w:pStyle w:val="Corpodeltesto"/>
        <w:jc w:val="center"/>
        <w:rPr>
          <w:rFonts w:ascii="Times New Roman" w:hAnsi="Times New Roman"/>
          <w:b/>
          <w:b/>
          <w:bCs/>
        </w:rPr>
      </w:pPr>
      <w:r>
        <w:rPr>
          <w:rFonts w:ascii="Times New Roman" w:hAnsi="Times New Roman"/>
          <w:b/>
          <w:bCs/>
        </w:rPr>
      </w:r>
    </w:p>
    <w:p>
      <w:pPr>
        <w:pStyle w:val="Corpodeltesto"/>
        <w:jc w:val="center"/>
        <w:rPr>
          <w:sz w:val="28"/>
          <w:szCs w:val="28"/>
        </w:rPr>
      </w:pPr>
      <w:r>
        <w:rPr>
          <w:sz w:val="28"/>
          <w:szCs w:val="28"/>
        </w:rPr>
      </w:r>
    </w:p>
    <w:p>
      <w:pPr>
        <w:pStyle w:val="Corpodeltesto"/>
        <w:jc w:val="center"/>
        <w:rPr>
          <w:b/>
          <w:b/>
          <w:bCs/>
          <w:i w:val="false"/>
          <w:i w:val="false"/>
          <w:iCs w:val="false"/>
        </w:rPr>
      </w:pPr>
      <w:r>
        <w:rPr>
          <w:b/>
          <w:bCs/>
          <w:i w:val="false"/>
          <w:iCs w:val="false"/>
        </w:rPr>
        <w:t xml:space="preserve">Adempimenti e scadenze per titolari e gestori di </w:t>
      </w:r>
    </w:p>
    <w:p>
      <w:pPr>
        <w:pStyle w:val="Corpodeltesto"/>
        <w:jc w:val="center"/>
        <w:rPr>
          <w:b/>
          <w:b/>
          <w:bCs/>
          <w:i w:val="false"/>
          <w:i w:val="false"/>
          <w:iCs w:val="false"/>
        </w:rPr>
      </w:pPr>
      <w:r>
        <w:rPr>
          <w:b/>
          <w:bCs/>
          <w:i w:val="false"/>
          <w:iCs w:val="false"/>
        </w:rPr>
        <w:t>strutture ricettive all’aperto</w:t>
      </w:r>
    </w:p>
    <w:p>
      <w:pPr>
        <w:pStyle w:val="Corpodeltesto"/>
        <w:jc w:val="center"/>
        <w:rPr>
          <w:b/>
          <w:b/>
          <w:bCs/>
          <w:i w:val="false"/>
          <w:i w:val="false"/>
          <w:iCs w:val="false"/>
        </w:rPr>
      </w:pPr>
      <w:r>
        <w:rPr>
          <w:b/>
          <w:bCs/>
          <w:i w:val="false"/>
          <w:iCs w:val="false"/>
        </w:rPr>
      </w:r>
    </w:p>
    <w:p>
      <w:pPr>
        <w:pStyle w:val="Corpodeltesto"/>
        <w:jc w:val="both"/>
        <w:rPr>
          <w:sz w:val="24"/>
          <w:szCs w:val="24"/>
        </w:rPr>
      </w:pPr>
      <w:r>
        <w:rPr>
          <w:rFonts w:ascii="Times New Roman" w:hAnsi="Times New Roman"/>
          <w:sz w:val="24"/>
          <w:szCs w:val="24"/>
        </w:rPr>
        <w:t>Il nuovo regolamento regionale per le strutture ricettive all’aperto, pubblicato sul BURP n. 52S5 del 29/12/2022 con decreto del Presidente della Giunta regionale 29 dicemb</w:t>
      </w:r>
      <w:r>
        <w:rPr>
          <w:rFonts w:ascii="Times New Roman" w:hAnsi="Times New Roman"/>
          <w:sz w:val="24"/>
          <w:szCs w:val="24"/>
          <w:shd w:fill="auto" w:val="clear"/>
        </w:rPr>
        <w:t xml:space="preserve">re 2022, n. </w:t>
      </w:r>
      <w:r>
        <w:rPr>
          <w:rFonts w:ascii="Times New Roman" w:hAnsi="Times New Roman"/>
          <w:b w:val="false"/>
          <w:bCs w:val="false"/>
          <w:sz w:val="24"/>
          <w:szCs w:val="24"/>
          <w:shd w:fill="auto" w:val="clear"/>
        </w:rPr>
        <w:t>11/R</w:t>
      </w:r>
      <w:r>
        <w:rPr>
          <w:rFonts w:cs="Calibri" w:ascii="Times New Roman" w:hAnsi="Times New Roman" w:cstheme="majorHAnsi"/>
          <w:b w:val="false"/>
          <w:bCs w:val="false"/>
          <w:sz w:val="24"/>
          <w:szCs w:val="24"/>
          <w:shd w:fill="auto" w:val="clear"/>
        </w:rPr>
        <w:t xml:space="preserve"> entrato in vigore </w:t>
      </w:r>
      <w:r>
        <w:rPr>
          <w:rFonts w:cs="Calibri" w:ascii="Times New Roman" w:hAnsi="Times New Roman" w:cstheme="majorHAnsi"/>
          <w:b/>
          <w:bCs/>
          <w:sz w:val="24"/>
          <w:szCs w:val="24"/>
          <w:shd w:fill="auto" w:val="clear"/>
        </w:rPr>
        <w:t>il giorno 13 gennaio 2023</w:t>
      </w:r>
      <w:r>
        <w:rPr>
          <w:rFonts w:cs="Calibri" w:ascii="Times New Roman" w:hAnsi="Times New Roman" w:cstheme="majorHAnsi"/>
          <w:b w:val="false"/>
          <w:bCs w:val="false"/>
          <w:sz w:val="24"/>
          <w:szCs w:val="24"/>
          <w:shd w:fill="auto" w:val="clear"/>
        </w:rPr>
        <w:t xml:space="preserve"> ha comportato la piena operatività degli istituti normativi previsti nella legge regionale n. 5/2019 che disciplina i complessi ricettivi all’aperto e il turismo itinerante.</w:t>
      </w:r>
    </w:p>
    <w:p>
      <w:pPr>
        <w:pStyle w:val="Corpodeltesto"/>
        <w:jc w:val="both"/>
        <w:rPr/>
      </w:pPr>
      <w:r>
        <w:rPr>
          <w:rFonts w:cs="Calibri" w:ascii="Times New Roman" w:hAnsi="Times New Roman" w:cstheme="majorHAnsi"/>
          <w:b w:val="false"/>
          <w:bCs w:val="false"/>
          <w:sz w:val="24"/>
          <w:szCs w:val="24"/>
          <w:shd w:fill="auto" w:val="clear"/>
        </w:rPr>
        <w:t xml:space="preserve">Al riguardo, si </w:t>
      </w:r>
      <w:r>
        <w:rPr>
          <w:rFonts w:eastAsia="" w:cs="Calibri" w:ascii="Times New Roman" w:hAnsi="Times New Roman" w:cstheme="majorHAnsi"/>
          <w:b w:val="false"/>
          <w:bCs w:val="false"/>
          <w:color w:val="000000"/>
          <w:kern w:val="0"/>
          <w:sz w:val="24"/>
          <w:szCs w:val="24"/>
          <w:shd w:fill="auto" w:val="clear"/>
          <w:lang w:val="it-IT" w:eastAsia="it-IT" w:bidi="ar-SA"/>
        </w:rPr>
        <w:t>richiama l’attenzione da parte de</w:t>
      </w:r>
      <w:r>
        <w:rPr>
          <w:rFonts w:cs="Calibri" w:ascii="Times New Roman" w:hAnsi="Times New Roman" w:cstheme="majorHAnsi"/>
          <w:b w:val="false"/>
          <w:bCs w:val="false"/>
          <w:sz w:val="24"/>
          <w:szCs w:val="24"/>
          <w:shd w:fill="auto" w:val="clear"/>
        </w:rPr>
        <w:t>gli operatori turistici che gestiscono tali strutture ricettive all’aperto sugli adempimenti amministrativi richiesti, in particolare, dall’articolo 14 del suddetto regolamento regionale relativo alle norme di carattere transitorio laddove vengono prescritti precisi limiti temporali entro cui doversi adeguare alle nuove disposizioni normative regionali per non incorrere all’applicazione delle relative sanzioni amministrative.</w:t>
      </w:r>
    </w:p>
    <w:p>
      <w:pPr>
        <w:pStyle w:val="Corpodeltesto"/>
        <w:jc w:val="both"/>
        <w:rPr/>
      </w:pPr>
      <w:r>
        <w:rPr>
          <w:rFonts w:cs="Calibri" w:ascii="Times New Roman" w:hAnsi="Times New Roman" w:cstheme="majorHAnsi"/>
          <w:b w:val="false"/>
          <w:bCs w:val="false"/>
          <w:sz w:val="24"/>
          <w:szCs w:val="24"/>
          <w:shd w:fill="auto" w:val="clear"/>
        </w:rPr>
        <w:t xml:space="preserve">Per quanto sopra, si rammentano di seguito le </w:t>
      </w:r>
      <w:r>
        <w:rPr>
          <w:rFonts w:cs="Calibri" w:ascii="Times New Roman" w:hAnsi="Times New Roman" w:cstheme="majorHAnsi"/>
          <w:b w:val="false"/>
          <w:bCs w:val="false"/>
          <w:sz w:val="24"/>
          <w:szCs w:val="24"/>
          <w:u w:val="single"/>
          <w:shd w:fill="auto" w:val="clear"/>
        </w:rPr>
        <w:t>scadenze temporali che rivestono carattere perentorio</w:t>
      </w:r>
      <w:r>
        <w:rPr>
          <w:rFonts w:cs="Calibri" w:ascii="Times New Roman" w:hAnsi="Times New Roman" w:cstheme="majorHAnsi"/>
          <w:b w:val="false"/>
          <w:bCs w:val="false"/>
          <w:sz w:val="24"/>
          <w:szCs w:val="24"/>
          <w:shd w:fill="auto" w:val="clear"/>
        </w:rPr>
        <w:t xml:space="preserve"> entro cui adeguare le strutture ricettive all’aperto già esistenti in Piemonte:</w:t>
      </w:r>
    </w:p>
    <w:p>
      <w:pPr>
        <w:pStyle w:val="Corpodeltesto"/>
        <w:jc w:val="both"/>
        <w:rPr/>
      </w:pPr>
      <w:r>
        <w:rPr>
          <w:rFonts w:cs="Calibri" w:ascii="Times New Roman" w:hAnsi="Times New Roman" w:cstheme="majorHAnsi"/>
          <w:b/>
          <w:bCs/>
          <w:sz w:val="24"/>
          <w:szCs w:val="24"/>
          <w:shd w:fill="auto" w:val="clear"/>
        </w:rPr>
        <w:t xml:space="preserve">1. </w:t>
      </w:r>
      <w:r>
        <w:rPr>
          <w:rFonts w:cs="Calibri" w:ascii="Times New Roman" w:hAnsi="Times New Roman" w:cstheme="majorHAnsi"/>
          <w:b w:val="false"/>
          <w:bCs w:val="false"/>
          <w:sz w:val="24"/>
          <w:szCs w:val="24"/>
          <w:shd w:fill="auto" w:val="clear"/>
        </w:rPr>
        <w:t xml:space="preserve">Adeguamento ai nuovi </w:t>
      </w:r>
      <w:r>
        <w:rPr>
          <w:rFonts w:cs="Calibri" w:ascii="Times New Roman" w:hAnsi="Times New Roman" w:cstheme="majorHAnsi"/>
          <w:b/>
          <w:bCs/>
          <w:sz w:val="24"/>
          <w:szCs w:val="24"/>
          <w:shd w:fill="auto" w:val="clear"/>
        </w:rPr>
        <w:t>requisiti di classificazione</w:t>
      </w:r>
      <w:r>
        <w:rPr>
          <w:rFonts w:cs="Calibri" w:ascii="Times New Roman" w:hAnsi="Times New Roman" w:cstheme="majorHAnsi"/>
          <w:b w:val="false"/>
          <w:bCs w:val="false"/>
          <w:sz w:val="24"/>
          <w:szCs w:val="24"/>
          <w:shd w:fill="auto" w:val="clear"/>
        </w:rPr>
        <w:t xml:space="preserve"> di cui </w:t>
      </w:r>
      <w:r>
        <w:rPr>
          <w:rFonts w:ascii="Times New Roman" w:hAnsi="Times New Roman"/>
          <w:b w:val="false"/>
          <w:bCs w:val="false"/>
          <w:sz w:val="24"/>
        </w:rPr>
        <w:t>all’allegato B del r.r. 11/R/2022</w:t>
      </w:r>
      <w:r>
        <w:rPr>
          <w:rFonts w:ascii="Times New Roman" w:hAnsi="Times New Roman"/>
          <w:sz w:val="24"/>
        </w:rPr>
        <w:t xml:space="preserve"> </w:t>
      </w:r>
      <w:r>
        <w:rPr>
          <w:rFonts w:ascii="Times New Roman" w:hAnsi="Times New Roman"/>
          <w:b/>
          <w:bCs/>
          <w:sz w:val="24"/>
          <w:u w:val="single"/>
        </w:rPr>
        <w:t>entro e non oltre il 13 aprile 2023</w:t>
      </w:r>
      <w:r>
        <w:rPr>
          <w:rFonts w:ascii="Times New Roman" w:hAnsi="Times New Roman"/>
          <w:b w:val="false"/>
          <w:bCs w:val="false"/>
          <w:sz w:val="24"/>
          <w:u w:val="none"/>
        </w:rPr>
        <w:t>.</w:t>
      </w:r>
    </w:p>
    <w:p>
      <w:pPr>
        <w:pStyle w:val="Corpodeltesto"/>
        <w:jc w:val="both"/>
        <w:rPr/>
      </w:pPr>
      <w:r>
        <w:rPr>
          <w:rFonts w:ascii="Times New Roman" w:hAnsi="Times New Roman"/>
          <w:b w:val="false"/>
          <w:bCs w:val="false"/>
          <w:sz w:val="24"/>
          <w:u w:val="none"/>
        </w:rPr>
        <w:t xml:space="preserve">Si precisa che tale incombenza </w:t>
      </w:r>
      <w:r>
        <w:rPr>
          <w:rFonts w:ascii="Times New Roman" w:hAnsi="Times New Roman"/>
          <w:b w:val="false"/>
          <w:bCs w:val="false"/>
          <w:sz w:val="24"/>
          <w:u w:val="single"/>
        </w:rPr>
        <w:t>deve essere assolta</w:t>
      </w:r>
      <w:r>
        <w:rPr>
          <w:rFonts w:ascii="Times New Roman" w:hAnsi="Times New Roman"/>
          <w:b w:val="false"/>
          <w:bCs w:val="false"/>
          <w:sz w:val="24"/>
          <w:u w:val="none"/>
        </w:rPr>
        <w:t xml:space="preserve"> anche qualora, dalla nuova denuncia di classificazione dichiarata, la struttura ricettiva all’aperto conservi la medesima classe attribuitale in precedenza dato che, comunque, sono stati previsti nuovi e diversificati requisiti e standards minimi obbligatori per l’ottenimento delle stelle relative alle singole classi di appartenenza.</w:t>
      </w:r>
    </w:p>
    <w:p>
      <w:pPr>
        <w:pStyle w:val="Corpodeltesto"/>
        <w:jc w:val="both"/>
        <w:rPr>
          <w:b/>
          <w:b/>
          <w:bCs/>
        </w:rPr>
      </w:pPr>
      <w:r>
        <w:rPr>
          <w:rFonts w:ascii="Times New Roman" w:hAnsi="Times New Roman"/>
          <w:b/>
          <w:bCs/>
          <w:sz w:val="24"/>
          <w:u w:val="none"/>
        </w:rPr>
        <w:t xml:space="preserve">2. </w:t>
      </w:r>
      <w:r>
        <w:rPr>
          <w:rFonts w:ascii="Times New Roman" w:hAnsi="Times New Roman"/>
          <w:b w:val="false"/>
          <w:bCs w:val="false"/>
          <w:sz w:val="24"/>
          <w:u w:val="none"/>
        </w:rPr>
        <w:t xml:space="preserve">Adeguamento ai nuovi </w:t>
      </w:r>
      <w:r>
        <w:rPr>
          <w:rFonts w:ascii="Times New Roman" w:hAnsi="Times New Roman"/>
          <w:b/>
          <w:bCs/>
          <w:sz w:val="24"/>
        </w:rPr>
        <w:t>requisiti tecnico-funzionali e di classificazione</w:t>
      </w:r>
      <w:r>
        <w:rPr>
          <w:rFonts w:ascii="Times New Roman" w:hAnsi="Times New Roman"/>
          <w:b w:val="false"/>
          <w:bCs w:val="false"/>
          <w:sz w:val="24"/>
        </w:rPr>
        <w:t xml:space="preserve"> previsti per la denominazione alternativa o aggiuntiva di </w:t>
      </w:r>
      <w:r>
        <w:rPr>
          <w:rFonts w:ascii="Times New Roman" w:hAnsi="Times New Roman"/>
          <w:b/>
          <w:bCs/>
          <w:sz w:val="24"/>
        </w:rPr>
        <w:t>“camping village” e di “glamping”,</w:t>
      </w:r>
      <w:r>
        <w:rPr>
          <w:rFonts w:ascii="Times New Roman" w:hAnsi="Times New Roman"/>
          <w:b w:val="false"/>
          <w:bCs w:val="false"/>
          <w:sz w:val="24"/>
        </w:rPr>
        <w:t xml:space="preserve"> di cui rispettivamente alla sezione II dell’allegato A e all’allegato B del r.r. 11/R/2022</w:t>
      </w:r>
      <w:r>
        <w:rPr>
          <w:rFonts w:ascii="Times New Roman" w:hAnsi="Times New Roman"/>
          <w:b/>
          <w:bCs/>
          <w:sz w:val="24"/>
        </w:rPr>
        <w:t xml:space="preserve"> </w:t>
      </w:r>
      <w:r>
        <w:rPr>
          <w:rFonts w:ascii="Times New Roman" w:hAnsi="Times New Roman"/>
          <w:b/>
          <w:bCs/>
          <w:sz w:val="24"/>
          <w:u w:val="single"/>
        </w:rPr>
        <w:t>entro e non oltre il 13 luglio 2023.</w:t>
      </w:r>
    </w:p>
    <w:p>
      <w:pPr>
        <w:pStyle w:val="Normal"/>
        <w:jc w:val="both"/>
        <w:rPr/>
      </w:pPr>
      <w:r>
        <w:rPr>
          <w:rFonts w:ascii="Times New Roman" w:hAnsi="Times New Roman"/>
          <w:b/>
          <w:bCs/>
          <w:sz w:val="24"/>
        </w:rPr>
        <w:t>3.</w:t>
      </w:r>
      <w:r>
        <w:rPr>
          <w:rFonts w:ascii="Times New Roman" w:hAnsi="Times New Roman"/>
          <w:sz w:val="24"/>
        </w:rPr>
        <w:t xml:space="preserve">  </w:t>
      </w:r>
      <w:r>
        <w:rPr>
          <w:rFonts w:ascii="Times New Roman" w:hAnsi="Times New Roman"/>
          <w:b w:val="false"/>
          <w:bCs w:val="false"/>
          <w:sz w:val="24"/>
          <w:u w:val="none"/>
        </w:rPr>
        <w:t xml:space="preserve">Adeguamento ai nuovi </w:t>
      </w:r>
      <w:r>
        <w:rPr>
          <w:rFonts w:ascii="Times New Roman" w:hAnsi="Times New Roman"/>
          <w:b/>
          <w:bCs/>
          <w:sz w:val="24"/>
        </w:rPr>
        <w:t>requisiti tecnico-funzionali</w:t>
      </w:r>
      <w:r>
        <w:rPr>
          <w:rFonts w:ascii="Times New Roman" w:hAnsi="Times New Roman"/>
          <w:b w:val="false"/>
          <w:bCs w:val="false"/>
          <w:sz w:val="24"/>
        </w:rPr>
        <w:t xml:space="preserve"> di cui alle sezioni I, III e IV dell’allegato A, nonché quelli </w:t>
      </w:r>
      <w:r>
        <w:rPr>
          <w:rFonts w:ascii="Times New Roman" w:hAnsi="Times New Roman"/>
          <w:b/>
          <w:bCs/>
          <w:sz w:val="24"/>
        </w:rPr>
        <w:t>urbanistico-edilizi e paesaggistici</w:t>
      </w:r>
      <w:r>
        <w:rPr>
          <w:rFonts w:ascii="Times New Roman" w:hAnsi="Times New Roman"/>
          <w:b w:val="false"/>
          <w:bCs w:val="false"/>
          <w:sz w:val="24"/>
        </w:rPr>
        <w:t xml:space="preserve"> di cui all’articolo 4 </w:t>
      </w:r>
      <w:r>
        <w:rPr>
          <w:rFonts w:ascii="Times New Roman" w:hAnsi="Times New Roman"/>
          <w:sz w:val="24"/>
        </w:rPr>
        <w:t xml:space="preserve">del r.r. 11/r/2022 e relativo allegato A </w:t>
      </w:r>
      <w:r>
        <w:rPr>
          <w:rFonts w:ascii="Times New Roman" w:hAnsi="Times New Roman"/>
          <w:b/>
          <w:bCs/>
          <w:sz w:val="24"/>
          <w:u w:val="single"/>
        </w:rPr>
        <w:t>entro e non oltre il 13 gennaio 2024.</w:t>
      </w:r>
    </w:p>
    <w:p>
      <w:pPr>
        <w:pStyle w:val="Normal"/>
        <w:jc w:val="both"/>
        <w:rPr>
          <w:rFonts w:ascii="Times New Roman" w:hAnsi="Times New Roman"/>
          <w:sz w:val="24"/>
        </w:rPr>
      </w:pPr>
      <w:r>
        <w:rPr>
          <w:rFonts w:ascii="Times New Roman" w:hAnsi="Times New Roman"/>
          <w:sz w:val="24"/>
        </w:rPr>
      </w:r>
    </w:p>
    <w:p>
      <w:pPr>
        <w:pStyle w:val="Corpodeltesto"/>
        <w:jc w:val="both"/>
        <w:rPr/>
      </w:pPr>
      <w:r>
        <w:rPr>
          <w:rFonts w:ascii="Times New Roman" w:hAnsi="Times New Roman"/>
          <w:b w:val="false"/>
          <w:bCs w:val="false"/>
          <w:sz w:val="24"/>
          <w:u w:val="none"/>
        </w:rPr>
        <w:t>A tal fine, é disponibile sul sito web regionale nella sezione dedicata all’offerta ricettiva l’apposita modulistica da utilizzare, unitamente alla scia di variazione.</w:t>
      </w:r>
    </w:p>
    <w:p>
      <w:pPr>
        <w:pStyle w:val="Normal"/>
        <w:jc w:val="both"/>
        <w:rPr/>
      </w:pPr>
      <w:r>
        <w:rPr>
          <w:rFonts w:ascii="Times New Roman" w:hAnsi="Times New Roman"/>
          <w:b/>
          <w:bCs/>
          <w:sz w:val="24"/>
        </w:rPr>
        <w:t>4.</w:t>
      </w:r>
      <w:r>
        <w:rPr>
          <w:rFonts w:ascii="Times New Roman" w:hAnsi="Times New Roman"/>
          <w:sz w:val="24"/>
        </w:rPr>
        <w:t xml:space="preserve"> Si rammenta, inoltre, che ai sensi dell’articolo 15 del r.r. 11/R/2022 per le violazioni al regolamento regionale medesimo, ivi compreso </w:t>
      </w:r>
      <w:r>
        <w:rPr>
          <w:rFonts w:ascii="Times New Roman" w:hAnsi="Times New Roman"/>
          <w:b/>
          <w:bCs/>
          <w:sz w:val="24"/>
          <w:u w:val="single"/>
        </w:rPr>
        <w:t>il mancato rispetto dei termini di adeguamento sopra indicati,</w:t>
      </w:r>
      <w:r>
        <w:rPr>
          <w:rFonts w:ascii="Times New Roman" w:hAnsi="Times New Roman"/>
          <w:sz w:val="24"/>
        </w:rPr>
        <w:t xml:space="preserve"> si applicano le sanzioni amministrative pecuniarie di cui all’articolo 21, comma 8, della l.r. 5/2019, ovvero da euro 150,00 ad euro 3.000,00</w:t>
      </w:r>
    </w:p>
    <w:p>
      <w:pPr>
        <w:pStyle w:val="Normal"/>
        <w:jc w:val="both"/>
        <w:rPr>
          <w:rFonts w:ascii="Times New Roman" w:hAnsi="Times New Roman" w:cs="Calibri" w:cstheme="majorHAnsi"/>
          <w:b w:val="false"/>
          <w:b w:val="false"/>
          <w:bCs w:val="false"/>
          <w:sz w:val="24"/>
          <w:shd w:fill="auto" w:val="clear"/>
        </w:rPr>
      </w:pPr>
      <w:r>
        <w:rPr>
          <w:rFonts w:cs="Calibri" w:cstheme="majorHAnsi" w:ascii="Times New Roman" w:hAnsi="Times New Roman"/>
          <w:b w:val="false"/>
          <w:bCs w:val="false"/>
          <w:sz w:val="24"/>
          <w:shd w:fill="auto" w:val="clear"/>
        </w:rPr>
      </w:r>
    </w:p>
    <w:p>
      <w:pPr>
        <w:pStyle w:val="Normal"/>
        <w:jc w:val="both"/>
        <w:rPr>
          <w:rFonts w:ascii="Times New Roman" w:hAnsi="Times New Roman" w:cs="Calibri" w:cstheme="majorHAnsi"/>
          <w:b w:val="false"/>
          <w:b w:val="false"/>
          <w:bCs w:val="false"/>
          <w:sz w:val="24"/>
          <w:shd w:fill="auto" w:val="clear"/>
        </w:rPr>
      </w:pPr>
      <w:r>
        <w:rPr>
          <w:rFonts w:cs="Calibri" w:cstheme="majorHAnsi" w:ascii="Times New Roman" w:hAnsi="Times New Roman"/>
          <w:b w:val="false"/>
          <w:bCs w:val="false"/>
          <w:sz w:val="24"/>
          <w:shd w:fill="auto" w:val="clear"/>
        </w:rPr>
      </w:r>
    </w:p>
    <w:p>
      <w:pPr>
        <w:pStyle w:val="Normal"/>
        <w:jc w:val="both"/>
        <w:rPr>
          <w:rFonts w:ascii="Times New Roman" w:hAnsi="Times New Roman" w:cs="Calibri" w:cstheme="majorHAnsi"/>
          <w:b/>
          <w:b/>
          <w:bCs/>
          <w:shd w:fill="auto" w:val="clear"/>
        </w:rPr>
      </w:pPr>
      <w:r>
        <w:rPr>
          <w:rFonts w:cs="Calibri" w:cstheme="majorHAnsi" w:ascii="Times New Roman" w:hAnsi="Times New Roman"/>
          <w:b/>
          <w:bCs/>
          <w:shd w:fill="auto" w:val="clear"/>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rFonts w:cs="Calibri" w:ascii="Times New Roman" w:hAnsi="Times New Roman" w:cstheme="majorHAnsi"/>
          <w:b/>
          <w:bCs/>
          <w:sz w:val="24"/>
          <w:szCs w:val="24"/>
          <w:shd w:fill="auto" w:val="clear"/>
        </w:rPr>
        <w:t>5.</w:t>
      </w:r>
      <w:r>
        <w:rPr>
          <w:rFonts w:cs="Calibri" w:ascii="Times New Roman" w:hAnsi="Times New Roman" w:cstheme="majorHAnsi"/>
          <w:b w:val="false"/>
          <w:bCs w:val="false"/>
          <w:sz w:val="24"/>
          <w:szCs w:val="24"/>
          <w:shd w:fill="auto" w:val="clear"/>
        </w:rPr>
        <w:t xml:space="preserve">  Riguardo alle </w:t>
      </w:r>
      <w:r>
        <w:rPr>
          <w:rFonts w:cs="Calibri" w:ascii="Times New Roman" w:hAnsi="Times New Roman" w:cstheme="majorHAnsi"/>
          <w:b/>
          <w:bCs/>
          <w:sz w:val="24"/>
          <w:szCs w:val="24"/>
          <w:shd w:fill="auto" w:val="clear"/>
        </w:rPr>
        <w:t>attività di campeggio mobile e temporaneo</w:t>
      </w:r>
      <w:r>
        <w:rPr>
          <w:rFonts w:cs="Calibri" w:ascii="Times New Roman" w:hAnsi="Times New Roman" w:cstheme="majorHAnsi"/>
          <w:b w:val="false"/>
          <w:bCs w:val="false"/>
          <w:sz w:val="24"/>
          <w:szCs w:val="24"/>
          <w:shd w:fill="auto" w:val="clear"/>
        </w:rPr>
        <w:t xml:space="preserve"> organizzate ai sensi dell’articolo 16, comma 2 della previgente l.r. 54/1979 per le quali sono in essere ancora istanze volte alla realizzazione di eventi sociali, culturali e sportivi o di trasformazione delle aree medesime in complessi ricettivi destinati a campeggio o villaggio turistico, conservano, </w:t>
      </w:r>
      <w:r>
        <w:rPr>
          <w:rFonts w:cs="Calibri" w:ascii="Times New Roman" w:hAnsi="Times New Roman" w:cstheme="majorHAnsi"/>
          <w:b w:val="false"/>
          <w:bCs w:val="false"/>
          <w:sz w:val="24"/>
          <w:szCs w:val="24"/>
          <w:u w:val="single"/>
          <w:shd w:fill="auto" w:val="clear"/>
        </w:rPr>
        <w:t>in deroga</w:t>
      </w:r>
      <w:r>
        <w:rPr>
          <w:rFonts w:cs="Calibri" w:ascii="Times New Roman" w:hAnsi="Times New Roman" w:cstheme="majorHAnsi"/>
          <w:b w:val="false"/>
          <w:bCs w:val="false"/>
          <w:sz w:val="24"/>
          <w:szCs w:val="24"/>
          <w:shd w:fill="auto" w:val="clear"/>
        </w:rPr>
        <w:t>, il regime amministrativo della precedente legislazione regionale per lo svolgimento delle attività e degli eventi organizzati nel corso degli anni 2022 e 2023.</w:t>
      </w:r>
    </w:p>
    <w:p>
      <w:pPr>
        <w:pStyle w:val="Corpodeltesto"/>
        <w:jc w:val="both"/>
        <w:rPr>
          <w:rFonts w:ascii="Times New Roman" w:hAnsi="Times New Roman" w:cs="Calibri" w:cstheme="majorHAnsi"/>
        </w:rPr>
      </w:pPr>
      <w:r>
        <w:rPr>
          <w:rFonts w:cs="Calibri" w:cstheme="majorHAnsi" w:ascii="Times New Roman" w:hAnsi="Times New Roman"/>
        </w:rPr>
      </w:r>
    </w:p>
    <w:p>
      <w:pPr>
        <w:pStyle w:val="Corpodeltesto"/>
        <w:jc w:val="both"/>
        <w:rPr>
          <w:rFonts w:ascii="Times New Roman" w:hAnsi="Times New Roman" w:cs="Calibri" w:cstheme="majorHAnsi"/>
        </w:rPr>
      </w:pPr>
      <w:r>
        <w:rPr>
          <w:rFonts w:cs="Calibri" w:cstheme="majorHAnsi" w:ascii="Times New Roman" w:hAnsi="Times New Roman"/>
        </w:rPr>
      </w:r>
    </w:p>
    <w:p>
      <w:pPr>
        <w:pStyle w:val="Corpodeltesto"/>
        <w:jc w:val="both"/>
        <w:rPr>
          <w:sz w:val="24"/>
          <w:szCs w:val="24"/>
        </w:rPr>
      </w:pPr>
      <w:r>
        <w:rPr>
          <w:rFonts w:cs="Calibri" w:ascii="Times New Roman" w:hAnsi="Times New Roman" w:cstheme="majorHAnsi"/>
          <w:sz w:val="24"/>
          <w:szCs w:val="24"/>
        </w:rPr>
        <w:t>Torino, 16/3/2023</w:t>
      </w:r>
    </w:p>
    <w:p>
      <w:pPr>
        <w:pStyle w:val="Corpodeltesto"/>
        <w:jc w:val="both"/>
        <w:rPr>
          <w:rFonts w:ascii="Times New Roman" w:hAnsi="Times New Roman" w:cs="Calibri" w:cstheme="majorHAnsi"/>
        </w:rPr>
      </w:pPr>
      <w:r>
        <w:rPr>
          <w:rFonts w:cs="Calibri" w:cstheme="majorHAnsi" w:ascii="Times New Roman" w:hAnsi="Times New Roman"/>
        </w:rPr>
      </w:r>
    </w:p>
    <w:p>
      <w:pPr>
        <w:pStyle w:val="Corpodeltesto"/>
        <w:jc w:val="both"/>
        <w:rPr>
          <w:rFonts w:ascii="Times New Roman" w:hAnsi="Times New Roman" w:cs="Calibri" w:cstheme="majorHAnsi"/>
        </w:rPr>
      </w:pPr>
      <w:r>
        <w:rPr>
          <w:rFonts w:cs="Calibri" w:cstheme="majorHAnsi" w:ascii="Times New Roman" w:hAnsi="Times New Roman"/>
        </w:rPr>
      </w:r>
    </w:p>
    <w:p>
      <w:pPr>
        <w:pStyle w:val="Corpodeltesto"/>
        <w:spacing w:before="0" w:after="140"/>
        <w:jc w:val="both"/>
        <w:rPr>
          <w:sz w:val="24"/>
          <w:szCs w:val="24"/>
        </w:rPr>
      </w:pPr>
      <w:r>
        <w:rPr>
          <w:rFonts w:cs="Calibri" w:ascii="Times New Roman" w:hAnsi="Times New Roman" w:cstheme="majorHAnsi"/>
          <w:sz w:val="24"/>
          <w:szCs w:val="24"/>
        </w:rPr>
        <w:tab/>
        <w:tab/>
        <w:tab/>
        <w:tab/>
        <w:tab/>
        <w:tab/>
        <w:tab/>
        <w:tab/>
      </w:r>
    </w:p>
    <w:sectPr>
      <w:type w:val="nextPage"/>
      <w:pgSz w:w="11906" w:h="16838"/>
      <w:pgMar w:left="1134" w:right="1134"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it-IT" w:eastAsia="it-IT" w:bidi="ar-SA"/>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d3270f"/>
    <w:rPr/>
  </w:style>
  <w:style w:type="character" w:styleId="Selectabletext" w:customStyle="1">
    <w:name w:val="selectable-text"/>
    <w:basedOn w:val="DefaultParagraphFont"/>
    <w:qFormat/>
    <w:rsid w:val="00d3270f"/>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Textbody" w:customStyle="1">
    <w:name w:val="Text body"/>
    <w:basedOn w:val="Normal"/>
    <w:qFormat/>
    <w:rsid w:val="0043400a"/>
    <w:pPr>
      <w:suppressAutoHyphens w:val="true"/>
      <w:spacing w:before="0" w:after="120"/>
      <w:textAlignment w:val="baseline"/>
    </w:pPr>
    <w:rPr>
      <w:rFonts w:ascii="Liberation Serif" w:hAnsi="Liberation Serif" w:eastAsia="SimSun" w:cs="Mangal"/>
      <w:kern w:val="2"/>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Application>LibreOffice/7.0.4.2$Windows_X86_64 LibreOffice_project/dcf040e67528d9187c66b2379df5ea4407429775</Application>
  <AppVersion>15.0000</AppVersion>
  <Pages>2</Pages>
  <Words>465</Words>
  <Characters>2813</Characters>
  <CharactersWithSpaces>3276</CharactersWithSpaces>
  <Paragraphs>15</Paragraphs>
  <Company>Nato a Torino l’11 maggio 1966</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2023-01-10T11:57:00Z</dcterms:created>
  <dc:creator>Andrea Costa</dc:creator>
  <dc:description/>
  <dc:language>it-IT</dc:language>
  <cp:lastModifiedBy/>
  <dcterms:modified xsi:type="dcterms:W3CDTF">2023-03-16T16:46:50Z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