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color w:val="C9211E"/>
          <w:sz w:val="22"/>
          <w:szCs w:val="22"/>
        </w:rPr>
      </w:pPr>
      <w:r>
        <w:rPr>
          <w:rFonts w:ascii="Arial" w:hAnsi="Arial"/>
          <w:b/>
          <w:bCs/>
          <w:color w:val="C9211E"/>
          <w:sz w:val="22"/>
          <w:szCs w:val="22"/>
        </w:rPr>
        <w:t>CONDHOTEL</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sz w:val="22"/>
          <w:szCs w:val="22"/>
        </w:rPr>
      </w:pPr>
      <w:r>
        <w:rPr>
          <w:rFonts w:ascii="Arial" w:hAnsi="Arial"/>
          <w:b/>
          <w:bCs/>
          <w:sz w:val="22"/>
          <w:szCs w:val="22"/>
        </w:rPr>
        <w:t>Cosa sono i condhotel</w:t>
      </w:r>
    </w:p>
    <w:p>
      <w:pPr>
        <w:pStyle w:val="Testopreformattato"/>
        <w:bidi w:val="0"/>
        <w:spacing w:before="0" w:after="0"/>
        <w:jc w:val="both"/>
        <w:rPr>
          <w:rFonts w:ascii="Arial" w:hAnsi="Arial"/>
          <w:sz w:val="22"/>
          <w:szCs w:val="22"/>
        </w:rPr>
      </w:pPr>
      <w:r>
        <w:rPr>
          <w:rFonts w:ascii="Arial" w:hAnsi="Arial"/>
          <w:sz w:val="22"/>
          <w:szCs w:val="22"/>
        </w:rPr>
        <w:t>I condhotel sono esercizi ricettivi</w:t>
      </w:r>
      <w:r>
        <w:rPr>
          <w:rFonts w:cs="Arial" w:ascii="Arial" w:hAnsi="Arial"/>
          <w:sz w:val="22"/>
          <w:szCs w:val="22"/>
        </w:rPr>
        <w:t xml:space="preserve"> alberghieri aperti al pubblico, a gestione unitaria, composti da una o più unità immobiliari ubicate nello stesso Comune o da parti di esse, che forniscono alloggio, servizi accessori ed eventualmente vitto, in camere destinate alla ricettività e, in forma integrata e complementare, in unità abitative a destinazione residenziale la cui superficie non può superare il 40% della superficie complessiva dei compendi immobiliari interessati. L’</w:t>
      </w:r>
      <w:r>
        <w:rPr>
          <w:rFonts w:cs="Times New Roman" w:ascii="Arial" w:hAnsi="Arial"/>
          <w:sz w:val="22"/>
          <w:szCs w:val="22"/>
        </w:rPr>
        <w:t>obiettivo della norma é quello di una idonea riqualificazione degli esercizi alberghieri esistenti (alberghi e RTA) e la diversificazione dell'offerta turistica.</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sz w:val="22"/>
          <w:szCs w:val="22"/>
        </w:rPr>
      </w:pPr>
      <w:r>
        <w:rPr>
          <w:rFonts w:ascii="Arial" w:hAnsi="Arial"/>
          <w:b/>
          <w:bCs/>
          <w:sz w:val="22"/>
          <w:szCs w:val="22"/>
        </w:rPr>
        <w:t xml:space="preserve">Denominazione aggiuntiva </w:t>
      </w:r>
    </w:p>
    <w:p>
      <w:pPr>
        <w:pStyle w:val="Testopreformattato"/>
        <w:bidi w:val="0"/>
        <w:spacing w:before="0" w:after="0"/>
        <w:jc w:val="both"/>
        <w:rPr>
          <w:rFonts w:ascii="Arial" w:hAnsi="Arial"/>
          <w:sz w:val="22"/>
          <w:szCs w:val="22"/>
        </w:rPr>
      </w:pPr>
      <w:r>
        <w:rPr>
          <w:rFonts w:ascii="Arial" w:hAnsi="Arial"/>
          <w:sz w:val="22"/>
          <w:szCs w:val="22"/>
        </w:rPr>
        <w:t xml:space="preserve">Se la struttura alberghiera è situata lungo un itinerario riconosciuto dalla Regione ai sensi della legge regionale n.12/2010, è consentita la denominazione di “posto tappa”, ubicato in località servite da strade aperte al transito pubblico veicolare con offerta di peculiari servizi turistici e dotazioni. </w:t>
      </w:r>
    </w:p>
    <w:p>
      <w:pPr>
        <w:pStyle w:val="Testopreformattato"/>
        <w:bidi w:val="0"/>
        <w:spacing w:before="0" w:after="0"/>
        <w:jc w:val="both"/>
        <w:rPr>
          <w:rFonts w:ascii="Arial" w:hAnsi="Arial"/>
          <w:sz w:val="22"/>
          <w:szCs w:val="22"/>
        </w:rPr>
      </w:pPr>
      <w:r>
        <w:rPr>
          <w:rFonts w:ascii="Arial" w:hAnsi="Arial"/>
          <w:sz w:val="22"/>
          <w:szCs w:val="22"/>
        </w:rPr>
        <w:t xml:space="preserve">A tal riguardo occorre far riferimento alle prescrizioni di cui all’Allegato E del regolamento regionale n. 9/2017, come integrato dal regolamento regionale 5 del 14/7/2022. </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sz w:val="22"/>
          <w:szCs w:val="22"/>
        </w:rPr>
      </w:pPr>
      <w:r>
        <w:rPr>
          <w:rFonts w:ascii="Arial" w:hAnsi="Arial"/>
          <w:b/>
          <w:bCs/>
          <w:sz w:val="22"/>
          <w:szCs w:val="22"/>
        </w:rPr>
        <w:t>Caratteristiche del Condhotel</w:t>
      </w:r>
    </w:p>
    <w:p>
      <w:pPr>
        <w:pStyle w:val="ListParagraph"/>
        <w:numPr>
          <w:ilvl w:val="0"/>
          <w:numId w:val="0"/>
        </w:numPr>
        <w:ind w:left="0" w:right="0" w:hanging="0"/>
        <w:jc w:val="both"/>
        <w:rPr>
          <w:rFonts w:ascii="Arial" w:hAnsi="Arial"/>
          <w:sz w:val="22"/>
          <w:szCs w:val="22"/>
        </w:rPr>
      </w:pPr>
      <w:r>
        <w:rPr>
          <w:rFonts w:eastAsia="NSimSun" w:cs="Times New Roman" w:ascii="Arial" w:hAnsi="Arial"/>
          <w:sz w:val="22"/>
          <w:szCs w:val="22"/>
        </w:rPr>
        <w:t xml:space="preserve">&gt; </w:t>
      </w:r>
      <w:r>
        <w:rPr>
          <w:rFonts w:cs="Times New Roman" w:ascii="Arial" w:hAnsi="Arial"/>
          <w:sz w:val="22"/>
          <w:szCs w:val="22"/>
        </w:rPr>
        <w:t xml:space="preserve">La struttura ricettiva denominata “condhotel”, derivante dalla riqualificazione, deve mantenere una dimensione di offerta ricettiva di tipo alberghiera significativamente prevalente </w:t>
      </w:r>
      <w:r>
        <w:rPr>
          <w:rFonts w:eastAsia="NSimSun" w:cs="Times New Roman" w:ascii="Arial" w:hAnsi="Arial"/>
          <w:color w:val="auto"/>
          <w:kern w:val="0"/>
          <w:sz w:val="22"/>
          <w:szCs w:val="22"/>
          <w:lang w:val="it-IT" w:eastAsia="zh-CN" w:bidi="hi-IN"/>
        </w:rPr>
        <w:t>rispetto</w:t>
      </w:r>
      <w:r>
        <w:rPr>
          <w:rFonts w:cs="Times New Roman" w:ascii="Arial" w:hAnsi="Arial"/>
          <w:sz w:val="22"/>
          <w:szCs w:val="22"/>
        </w:rPr>
        <w:t xml:space="preserve"> alla capacità ricettiva delle unità abitative di tipo residenziale. A tal fine, é previsto il rispetto della percentuale massima della superficie  netta delle unità abitative ad uso residenziale pari al 40% del totale della superficie netta destinata ad uso turistico-ricettivo. In ogni caso, deve essere garantita la presenza minima di </w:t>
      </w:r>
      <w:r>
        <w:rPr>
          <w:rFonts w:cs="Times New Roman" w:ascii="Arial" w:hAnsi="Arial"/>
          <w:sz w:val="22"/>
          <w:szCs w:val="22"/>
          <w:u w:val="single"/>
        </w:rPr>
        <w:t>sette camere</w:t>
      </w:r>
      <w:r>
        <w:rPr>
          <w:rFonts w:cs="Times New Roman" w:ascii="Arial" w:hAnsi="Arial"/>
          <w:sz w:val="22"/>
          <w:szCs w:val="22"/>
        </w:rPr>
        <w:t xml:space="preserve"> al netto, delle unità abitative ad uso residenziale, all’esito dell’intervento di riqualificazione.</w:t>
      </w:r>
    </w:p>
    <w:p>
      <w:pPr>
        <w:pStyle w:val="ListParagraph"/>
        <w:numPr>
          <w:ilvl w:val="0"/>
          <w:numId w:val="0"/>
        </w:numPr>
        <w:ind w:left="720" w:right="0" w:hanging="0"/>
        <w:jc w:val="both"/>
        <w:rPr>
          <w:rFonts w:ascii="Arial" w:hAnsi="Arial"/>
          <w:sz w:val="22"/>
          <w:szCs w:val="22"/>
        </w:rPr>
      </w:pPr>
      <w:r>
        <w:rPr>
          <w:rFonts w:eastAsia="NSimSun" w:cs="Times New Roman" w:ascii="Arial" w:hAnsi="Arial"/>
          <w:sz w:val="22"/>
          <w:szCs w:val="22"/>
        </w:rPr>
        <w:t>&gt; E’</w:t>
      </w:r>
      <w:r>
        <w:rPr>
          <w:rFonts w:cs="Times New Roman" w:ascii="Arial" w:hAnsi="Arial"/>
          <w:sz w:val="22"/>
          <w:szCs w:val="22"/>
        </w:rPr>
        <w:t xml:space="preserve"> </w:t>
      </w:r>
      <w:r>
        <w:rPr>
          <w:rFonts w:eastAsia="NSimSun" w:cs="Times New Roman" w:ascii="Arial" w:hAnsi="Arial"/>
          <w:color w:val="auto"/>
          <w:kern w:val="0"/>
          <w:sz w:val="22"/>
          <w:szCs w:val="22"/>
          <w:lang w:val="it-IT" w:eastAsia="zh-CN" w:bidi="hi-IN"/>
        </w:rPr>
        <w:t>richista la</w:t>
      </w:r>
      <w:r>
        <w:rPr>
          <w:rFonts w:cs="Times New Roman" w:ascii="Arial" w:hAnsi="Arial"/>
          <w:sz w:val="22"/>
          <w:szCs w:val="22"/>
        </w:rPr>
        <w:t xml:space="preserve"> gestione unitaria con fornitura di servizi alberghieri </w:t>
      </w:r>
      <w:r>
        <w:rPr>
          <w:rFonts w:cs="Times New Roman" w:ascii="Arial" w:hAnsi="Arial"/>
          <w:sz w:val="22"/>
          <w:szCs w:val="22"/>
          <w:u w:val="single"/>
        </w:rPr>
        <w:t>in forma integrata e complementare</w:t>
      </w:r>
      <w:r>
        <w:rPr>
          <w:rFonts w:cs="Times New Roman" w:ascii="Arial" w:hAnsi="Arial"/>
          <w:sz w:val="22"/>
          <w:szCs w:val="22"/>
          <w:u w:val="none"/>
        </w:rPr>
        <w:t xml:space="preserve"> </w:t>
      </w:r>
      <w:r>
        <w:rPr>
          <w:rFonts w:cs="Times New Roman" w:ascii="Arial" w:hAnsi="Arial"/>
          <w:sz w:val="22"/>
          <w:szCs w:val="22"/>
        </w:rPr>
        <w:t>con le unità abitative ad uso residenziale del complesso immobiliare la cui durata  non  deve essere inferiore a dieci anni dall’avvio dell’esercizio del condhotel. La violazione dell’obbligo di durata della gestione configura, al momento della cessazione anticipata della prestazione dei servizi, un mutamento non consentito  della destinazione d’uso dell’immobile.</w:t>
      </w:r>
    </w:p>
    <w:p>
      <w:pPr>
        <w:pStyle w:val="ListParagraph"/>
        <w:numPr>
          <w:ilvl w:val="0"/>
          <w:numId w:val="0"/>
        </w:numPr>
        <w:ind w:left="720" w:right="0" w:hanging="0"/>
        <w:jc w:val="both"/>
        <w:rPr>
          <w:rFonts w:ascii="Arial" w:hAnsi="Arial"/>
          <w:sz w:val="22"/>
          <w:szCs w:val="22"/>
        </w:rPr>
      </w:pPr>
      <w:r>
        <w:rPr>
          <w:rFonts w:eastAsia="NSimSun" w:cs="Times New Roman" w:ascii="Arial" w:hAnsi="Arial"/>
          <w:sz w:val="22"/>
          <w:szCs w:val="22"/>
        </w:rPr>
        <w:t>&gt; P</w:t>
      </w:r>
      <w:r>
        <w:rPr>
          <w:rFonts w:cs="Times New Roman" w:ascii="Arial" w:hAnsi="Arial"/>
          <w:sz w:val="22"/>
          <w:szCs w:val="22"/>
        </w:rPr>
        <w:t>er assicurare la qualità dell’offerta turistica, le unità immobiliari a destinazione residenziale del condhotel sono collocate nello stesso edificio dove hanno sede i servizi centralizzati, nonché in edifici distanti da esso non più di duecento metri.</w:t>
      </w:r>
    </w:p>
    <w:p>
      <w:pPr>
        <w:pStyle w:val="ListParagraph"/>
        <w:numPr>
          <w:ilvl w:val="0"/>
          <w:numId w:val="0"/>
        </w:numPr>
        <w:ind w:left="720" w:right="0" w:hanging="0"/>
        <w:jc w:val="both"/>
        <w:rPr>
          <w:rFonts w:ascii="Arial" w:hAnsi="Arial"/>
          <w:sz w:val="22"/>
          <w:szCs w:val="22"/>
        </w:rPr>
      </w:pPr>
      <w:r>
        <w:rPr>
          <w:rFonts w:eastAsia="NSimSun" w:cs="Times New Roman" w:ascii="Arial" w:hAnsi="Arial"/>
          <w:bCs/>
          <w:sz w:val="22"/>
          <w:szCs w:val="22"/>
        </w:rPr>
        <w:t xml:space="preserve">&gt; </w:t>
      </w:r>
      <w:r>
        <w:rPr>
          <w:rFonts w:cs="Times New Roman" w:ascii="Arial" w:hAnsi="Arial"/>
          <w:b w:val="false"/>
          <w:bCs w:val="false"/>
          <w:sz w:val="22"/>
          <w:szCs w:val="22"/>
        </w:rPr>
        <w:t xml:space="preserve"> E’ richiesta la presenza di portineria o reception unica per tutti coloro che usufruiscono del condhotel.</w:t>
      </w:r>
    </w:p>
    <w:p>
      <w:pPr>
        <w:pStyle w:val="ListParagraph"/>
        <w:numPr>
          <w:ilvl w:val="0"/>
          <w:numId w:val="0"/>
        </w:numPr>
        <w:ind w:left="720" w:right="0" w:hanging="0"/>
        <w:jc w:val="both"/>
        <w:rPr>
          <w:rFonts w:ascii="Arial" w:hAnsi="Arial"/>
          <w:sz w:val="22"/>
          <w:szCs w:val="22"/>
        </w:rPr>
      </w:pPr>
      <w:r>
        <w:rPr>
          <w:rFonts w:cs="Times New Roman" w:ascii="Arial" w:hAnsi="Arial"/>
          <w:bCs/>
          <w:sz w:val="22"/>
          <w:szCs w:val="22"/>
        </w:rPr>
        <w:t>&gt; E’ data possibilità di riqualificare esercizi alberghieri già esistenti e attivi sul mercato turistico, ovvero edifici dismessi ove non siano più attivi esercizi alberghieri, comunque  già esistenti, nonché edifici in cui siano in corso lavori di ristrutturazione edilizia al momento dell’entrata in vigore del regolamento.</w:t>
      </w:r>
    </w:p>
    <w:p>
      <w:pPr>
        <w:pStyle w:val="ListParagraph"/>
        <w:numPr>
          <w:ilvl w:val="0"/>
          <w:numId w:val="0"/>
        </w:numPr>
        <w:ind w:left="720" w:right="0" w:hanging="0"/>
        <w:jc w:val="both"/>
        <w:rPr>
          <w:rFonts w:ascii="Arial" w:hAnsi="Arial"/>
          <w:sz w:val="22"/>
          <w:szCs w:val="22"/>
        </w:rPr>
      </w:pPr>
      <w:r>
        <w:rPr>
          <w:rFonts w:cs="Times New Roman" w:ascii="Arial" w:hAnsi="Arial"/>
          <w:bCs/>
          <w:sz w:val="22"/>
          <w:szCs w:val="22"/>
        </w:rPr>
        <w:t>&gt; Le disposizioni regolamentari si applicano anche agli esercizi denominati “residenze turistiche alberghiere” ovvero a quegli esercizi in cui siano prevalenti il numero di appartamenti dotate di cucina autonome rispetto al numero delle camere d’albergo. Tuttavia, all’atto della riqualificazione, il titolare o gestore dovrà operare la necessaria trasformazione dell’esercizio onde garantire la prevalenza delle camere rispetto agli appartamenti dotati di cucina autonoma a destinazione turistico ricettiva, fermo restando il rispetto del limite percentuale del 40% riservato alle unità abitative con destinazione d’uso residenziale.</w:t>
      </w:r>
    </w:p>
    <w:p>
      <w:pPr>
        <w:pStyle w:val="Paragrafoelenco"/>
        <w:numPr>
          <w:ilvl w:val="0"/>
          <w:numId w:val="0"/>
        </w:numPr>
        <w:spacing w:lineRule="auto" w:line="240" w:before="0" w:after="0"/>
        <w:ind w:left="720" w:right="0" w:hanging="0"/>
        <w:contextualSpacing/>
        <w:jc w:val="both"/>
        <w:rPr>
          <w:rFonts w:ascii="Arial" w:hAnsi="Arial"/>
          <w:sz w:val="22"/>
          <w:szCs w:val="22"/>
        </w:rPr>
      </w:pPr>
      <w:r>
        <w:rPr>
          <w:rFonts w:cs="Times New Roman" w:ascii="Arial" w:hAnsi="Arial"/>
          <w:bCs/>
          <w:sz w:val="22"/>
          <w:szCs w:val="22"/>
        </w:rPr>
        <w:t>&gt; E’ prevista una riserva esclusiva d’uso delle unità abitative a destinazione residenziale da parte dei proprietari mediante apposito contratto di trasferimento della proprietà; in caso di mancato utilizzo dell’unità abitativa residenziale da parte del proprietario, previo consenso del medesimo, la stessa può essere adibita ad impiego alberghiero da parte del gestore unico dell’esercizio ricettivo.</w:t>
      </w:r>
    </w:p>
    <w:p>
      <w:pPr>
        <w:pStyle w:val="Paragrafoelenco"/>
        <w:numPr>
          <w:ilvl w:val="0"/>
          <w:numId w:val="0"/>
        </w:numPr>
        <w:bidi w:val="0"/>
        <w:spacing w:lineRule="auto" w:line="240" w:before="0" w:after="0"/>
        <w:ind w:left="720" w:right="0" w:hanging="0"/>
        <w:contextualSpacing/>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sz w:val="22"/>
          <w:szCs w:val="22"/>
        </w:rPr>
      </w:pPr>
      <w:r>
        <w:rPr>
          <w:rFonts w:ascii="Arial" w:hAnsi="Arial"/>
          <w:b/>
          <w:bCs/>
          <w:sz w:val="22"/>
          <w:szCs w:val="22"/>
        </w:rPr>
        <w:t xml:space="preserve">Destinazione urbanistica </w:t>
      </w:r>
    </w:p>
    <w:p>
      <w:pPr>
        <w:pStyle w:val="Testopreformattato"/>
        <w:bidi w:val="0"/>
        <w:spacing w:before="0" w:after="0"/>
        <w:jc w:val="both"/>
        <w:rPr>
          <w:rFonts w:ascii="Arial" w:hAnsi="Arial"/>
          <w:sz w:val="22"/>
          <w:szCs w:val="22"/>
        </w:rPr>
      </w:pPr>
      <w:r>
        <w:rPr>
          <w:rFonts w:eastAsia="NSimSun" w:cs="Liberation Mono" w:ascii="Arial" w:hAnsi="Arial"/>
          <w:color w:val="auto"/>
          <w:sz w:val="22"/>
          <w:szCs w:val="22"/>
          <w:lang w:val="it-IT" w:eastAsia="zh-CN" w:bidi="hi-IN"/>
        </w:rPr>
        <w:t>Viene agevolata la possibilità di modificare la destinazione urbanistica per la sola parte del compendio immobiliare utilizzato a fini residenziali le unità abitative private mediante rimozione del vincolo di destinazione alberghiera e variazione negli strumenti di pianificazione comunale ottenendo per esse la destinazione d’uso residenziale.</w:t>
      </w:r>
    </w:p>
    <w:p>
      <w:pPr>
        <w:pStyle w:val="Testopreformattato"/>
        <w:bidi w:val="0"/>
        <w:spacing w:before="0" w:after="0"/>
        <w:jc w:val="both"/>
        <w:rPr>
          <w:rFonts w:ascii="Arial" w:hAnsi="Arial"/>
          <w:sz w:val="22"/>
          <w:szCs w:val="22"/>
        </w:rPr>
      </w:pPr>
      <w:r>
        <w:rPr>
          <w:rFonts w:eastAsia="NSimSun" w:cs="Liberation Mono" w:ascii="Arial" w:hAnsi="Arial"/>
          <w:color w:val="auto"/>
          <w:sz w:val="22"/>
          <w:szCs w:val="22"/>
          <w:lang w:val="it-IT" w:eastAsia="zh-CN" w:bidi="hi-IN"/>
        </w:rPr>
        <w:t xml:space="preserve">Dette unità abitative non sono da confondere con gli appartamenti o le unità abitative dotate di cucina autonoma della struttura alberghiera </w:t>
      </w:r>
      <w:r>
        <w:rPr>
          <w:rFonts w:eastAsia="NSimSun" w:cs="Liberation Mono" w:ascii="Arial" w:hAnsi="Arial"/>
          <w:color w:val="auto"/>
          <w:kern w:val="0"/>
          <w:sz w:val="22"/>
          <w:szCs w:val="22"/>
          <w:lang w:val="it-IT" w:eastAsia="zh-CN" w:bidi="hi-IN"/>
        </w:rPr>
        <w:t>le quali,</w:t>
      </w:r>
      <w:r>
        <w:rPr>
          <w:rFonts w:eastAsia="NSimSun" w:cs="Liberation Mono" w:ascii="Arial" w:hAnsi="Arial"/>
          <w:color w:val="auto"/>
          <w:sz w:val="22"/>
          <w:szCs w:val="22"/>
          <w:lang w:val="it-IT" w:eastAsia="zh-CN" w:bidi="hi-IN"/>
        </w:rPr>
        <w:t xml:space="preserve"> insieme alle camere del medesimo esercizio, conservano la destinazione turistico-ricettiva.</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sz w:val="22"/>
          <w:szCs w:val="22"/>
        </w:rPr>
      </w:pPr>
      <w:r>
        <w:rPr>
          <w:rFonts w:ascii="Arial" w:hAnsi="Arial"/>
          <w:b/>
          <w:bCs/>
          <w:sz w:val="22"/>
          <w:szCs w:val="22"/>
        </w:rPr>
        <w:t xml:space="preserve">Periodi di apertura </w:t>
      </w:r>
    </w:p>
    <w:p>
      <w:pPr>
        <w:pStyle w:val="Testopreformattato"/>
        <w:bidi w:val="0"/>
        <w:spacing w:before="0" w:after="0"/>
        <w:jc w:val="both"/>
        <w:rPr>
          <w:rFonts w:ascii="Arial" w:hAnsi="Arial"/>
          <w:sz w:val="22"/>
          <w:szCs w:val="22"/>
        </w:rPr>
      </w:pPr>
      <w:r>
        <w:rPr>
          <w:rFonts w:ascii="Arial" w:hAnsi="Arial"/>
          <w:sz w:val="22"/>
          <w:szCs w:val="22"/>
        </w:rPr>
        <w:t xml:space="preserve">L’attività alberghiera di condhotel può essere esercitata: </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 xml:space="preserve">con apertura annuale: per un periodo di attività non inferiore a 270 giorni, anche non consecutivi, nell’arco dell’anno solare; </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 xml:space="preserve">con apertura stagionale: per un periodo di attività non inferiore a 90 giorni, anche non consecutivi, nell’arco dell’anno solare. </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sz w:val="22"/>
          <w:szCs w:val="22"/>
        </w:rPr>
      </w:pPr>
      <w:r>
        <w:rPr>
          <w:rFonts w:ascii="Arial" w:hAnsi="Arial"/>
          <w:b/>
          <w:bCs/>
          <w:sz w:val="22"/>
          <w:szCs w:val="22"/>
        </w:rPr>
        <w:t xml:space="preserve">Attività e servizi aggiuntivi e complementari </w:t>
      </w:r>
    </w:p>
    <w:p>
      <w:pPr>
        <w:pStyle w:val="Testopreformattato"/>
        <w:bidi w:val="0"/>
        <w:spacing w:before="0" w:after="0"/>
        <w:jc w:val="both"/>
        <w:rPr>
          <w:rFonts w:ascii="Arial" w:hAnsi="Arial"/>
          <w:sz w:val="22"/>
          <w:szCs w:val="22"/>
        </w:rPr>
      </w:pPr>
      <w:r>
        <w:rPr>
          <w:rFonts w:ascii="Arial" w:hAnsi="Arial"/>
          <w:sz w:val="22"/>
          <w:szCs w:val="22"/>
        </w:rPr>
        <w:t xml:space="preserve">Le aziende alberghiere possono offrire alla propria clientela: </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 xml:space="preserve">prodotti e servizi accessori quali la vendita di titoli di trasporto pubblico locale e di ingresso in stabilimenti termali e balneari, biglietti per attrazioni, manifestazioni ed eventi, prodotti enogastronomici, commerciali e artigianali, nonché servizi di accompagnamento. </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 xml:space="preserve">Servizi e attività dedicate alla cura, al benessere e alla salute del corpo, finalizzate in via esclusiva a garantire un più elevato livello di comfort e di relax agli ospiti alloggiati. </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sz w:val="22"/>
          <w:szCs w:val="22"/>
        </w:rPr>
      </w:pPr>
      <w:r>
        <w:rPr>
          <w:rFonts w:ascii="Arial" w:hAnsi="Arial"/>
          <w:b/>
          <w:bCs/>
          <w:sz w:val="22"/>
          <w:szCs w:val="22"/>
        </w:rPr>
        <w:t xml:space="preserve">Requisiti tecnici ed igienico-sanitari </w:t>
      </w:r>
    </w:p>
    <w:p>
      <w:pPr>
        <w:pStyle w:val="Testopreformattato"/>
        <w:bidi w:val="0"/>
        <w:spacing w:before="0" w:after="0"/>
        <w:jc w:val="both"/>
        <w:rPr>
          <w:rFonts w:ascii="Arial" w:hAnsi="Arial"/>
          <w:sz w:val="22"/>
          <w:szCs w:val="22"/>
        </w:rPr>
      </w:pPr>
      <w:r>
        <w:rPr>
          <w:rFonts w:ascii="Arial" w:hAnsi="Arial"/>
          <w:sz w:val="22"/>
          <w:szCs w:val="22"/>
        </w:rPr>
        <w:t xml:space="preserve">Per quanto riguarda le superfici delle camere da letto, degli appartamenti con servizio autonomo di cucina ad uso turistico ricettivo, dei bagni privati nelle camere e negli appartamenti, l’altezza e il volume dei locali, le disposizioni per la preparazione e somministrazione alimenti e bevande, l’idoneità e l’accessibilità dei locali, i soppalchi, i posti di cottura, i servizi igienico-sanitari, gli spazi e i locali destinati alle cure e al benessere degli ospiti, le piscine, le prescrizioni anti-legionellosi, occorre consultare l’Allegato A del regolamento regionale 15 maggio 2017, n.9. </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sz w:val="22"/>
          <w:szCs w:val="22"/>
        </w:rPr>
      </w:pPr>
      <w:r>
        <w:rPr>
          <w:rFonts w:ascii="Arial" w:hAnsi="Arial"/>
          <w:b/>
          <w:bCs/>
          <w:sz w:val="22"/>
          <w:szCs w:val="22"/>
        </w:rPr>
        <w:t xml:space="preserve">Obblighi amministrativi per lo svolgimento dell’attività </w:t>
      </w:r>
    </w:p>
    <w:p>
      <w:pPr>
        <w:pStyle w:val="Testopreformattato"/>
        <w:bidi w:val="0"/>
        <w:spacing w:before="0" w:after="0"/>
        <w:jc w:val="both"/>
        <w:rPr>
          <w:rFonts w:ascii="Arial" w:hAnsi="Arial"/>
          <w:b/>
          <w:b/>
          <w:bCs/>
          <w:sz w:val="22"/>
          <w:szCs w:val="22"/>
        </w:rPr>
      </w:pPr>
      <w:r>
        <w:rPr>
          <w:rFonts w:ascii="Arial" w:hAnsi="Arial"/>
          <w:b/>
          <w:bCs/>
          <w:sz w:val="22"/>
          <w:szCs w:val="22"/>
        </w:rPr>
        <w:t xml:space="preserve">Avvio </w:t>
      </w:r>
    </w:p>
    <w:p>
      <w:pPr>
        <w:pStyle w:val="Testopreformattato"/>
        <w:bidi w:val="0"/>
        <w:spacing w:before="0" w:after="0"/>
        <w:jc w:val="both"/>
        <w:rPr>
          <w:rFonts w:ascii="Arial" w:hAnsi="Arial"/>
          <w:sz w:val="22"/>
          <w:szCs w:val="22"/>
        </w:rPr>
      </w:pPr>
      <w:r>
        <w:rPr>
          <w:rFonts w:ascii="Arial" w:hAnsi="Arial"/>
          <w:sz w:val="22"/>
          <w:szCs w:val="22"/>
        </w:rPr>
        <w:t xml:space="preserve">Trasmettere la Segnalazione certificata di inizio attività (SCIA) + gli Allegati elencati al fondo del modello stesso, per via telematica con posta certificata allo Sportello unico attività produttive (S.U.A.P.) del comune sul quale insiste la struttura ricettiva, corredato dalla denuncia di classificazione in riferimento ai contenuti di cui all’Allegato B del regolamento regionale n. 9/2017, dal modello AD per la concessione ed uso del marchio grafico in riferimento ai contenuti di cui all’Allegato D, dall’Allegato C sull’accessibilità a titolo meramente informativo, dalla tabella prezzi e, in caso di preparazione e somministrazione alimenti e bevande, dalla notifica sanitaria e dalla comunicazione dei dati relativi all’impresa alimentare. </w:t>
      </w:r>
    </w:p>
    <w:p>
      <w:pPr>
        <w:pStyle w:val="Testopreformattato"/>
        <w:bidi w:val="0"/>
        <w:spacing w:before="0" w:after="0"/>
        <w:jc w:val="both"/>
        <w:rPr>
          <w:rFonts w:ascii="Arial" w:hAnsi="Arial"/>
          <w:sz w:val="22"/>
          <w:szCs w:val="22"/>
        </w:rPr>
      </w:pPr>
      <w:r>
        <w:rPr>
          <w:rFonts w:ascii="Arial" w:hAnsi="Arial"/>
          <w:sz w:val="22"/>
          <w:szCs w:val="22"/>
        </w:rPr>
        <w:t>Il SUAP ricevuta l’istanza ne trasmette copia agli Enti facenti parte del procedimento amministrativo: Comune, ASL, Provincia, Città Metropolitana di Torino e ATL.</w:t>
      </w:r>
    </w:p>
    <w:p>
      <w:pPr>
        <w:pStyle w:val="Testopreformattato"/>
        <w:bidi w:val="0"/>
        <w:spacing w:before="0" w:after="0"/>
        <w:jc w:val="both"/>
        <w:rPr>
          <w:rFonts w:ascii="Arial" w:hAnsi="Arial"/>
          <w:b/>
          <w:b/>
          <w:bCs/>
          <w:sz w:val="22"/>
          <w:szCs w:val="22"/>
        </w:rPr>
      </w:pPr>
      <w:r>
        <w:rPr>
          <w:rFonts w:ascii="Arial" w:hAnsi="Arial"/>
          <w:b/>
          <w:bCs/>
          <w:sz w:val="22"/>
          <w:szCs w:val="22"/>
        </w:rPr>
        <w:t xml:space="preserve">Variazione </w:t>
      </w:r>
    </w:p>
    <w:p>
      <w:pPr>
        <w:pStyle w:val="Testopreformattato"/>
        <w:bidi w:val="0"/>
        <w:spacing w:before="0" w:after="0"/>
        <w:jc w:val="both"/>
        <w:rPr>
          <w:rFonts w:ascii="Arial" w:hAnsi="Arial"/>
          <w:sz w:val="22"/>
          <w:szCs w:val="22"/>
        </w:rPr>
      </w:pPr>
      <w:r>
        <w:rPr>
          <w:rFonts w:ascii="Arial" w:hAnsi="Arial"/>
          <w:sz w:val="22"/>
          <w:szCs w:val="22"/>
        </w:rPr>
        <w:t xml:space="preserve">Ogni variazione relativa a stati, fatti, condizioni e titolarità, deve essere comunicata al SUAP competente con una SCIA per variazioni entro e non oltre i dieci giorni successivi al suo verificarsi. </w:t>
      </w:r>
    </w:p>
    <w:p>
      <w:pPr>
        <w:pStyle w:val="Testopreformattato"/>
        <w:bidi w:val="0"/>
        <w:spacing w:before="0" w:after="0"/>
        <w:jc w:val="both"/>
        <w:rPr>
          <w:rFonts w:ascii="Arial" w:hAnsi="Arial"/>
          <w:sz w:val="22"/>
          <w:szCs w:val="22"/>
        </w:rPr>
      </w:pPr>
      <w:r>
        <w:rPr>
          <w:rFonts w:ascii="Arial" w:hAnsi="Arial"/>
          <w:b/>
          <w:bCs/>
          <w:sz w:val="22"/>
          <w:szCs w:val="22"/>
        </w:rPr>
        <w:t xml:space="preserve">Sospensione e cessazione </w:t>
      </w:r>
    </w:p>
    <w:p>
      <w:pPr>
        <w:pStyle w:val="Testopreformattato"/>
        <w:bidi w:val="0"/>
        <w:spacing w:before="0" w:after="0"/>
        <w:jc w:val="both"/>
        <w:rPr>
          <w:rFonts w:ascii="Arial" w:hAnsi="Arial"/>
          <w:sz w:val="22"/>
          <w:szCs w:val="22"/>
        </w:rPr>
      </w:pPr>
      <w:r>
        <w:rPr>
          <w:rFonts w:ascii="Arial" w:hAnsi="Arial"/>
          <w:sz w:val="22"/>
          <w:szCs w:val="22"/>
        </w:rPr>
        <w:t>La sospensione temporanea o la cessazione volontaria dell’attività sono soggette a comunicazione attraverso la compilazione dei modelli predisposti dalla struttura regionale competente.</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comunicazione di sospensione/riavvio. Il periodo di sospensione temporanea dell’attività non può essere superiore a 6 mesi, prorogabili da parte del comune di ulteriori 6 mesi. Decorso tale termine, l’attività, qualora non riavviata, si intende definitivamente cessata.</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 xml:space="preserve">comunicazione di cessazione. </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sz w:val="22"/>
          <w:szCs w:val="22"/>
        </w:rPr>
      </w:pPr>
      <w:r>
        <w:rPr>
          <w:rFonts w:ascii="Arial" w:hAnsi="Arial"/>
          <w:b/>
          <w:bCs/>
          <w:sz w:val="22"/>
          <w:szCs w:val="22"/>
        </w:rPr>
        <w:t xml:space="preserve">Classificazione </w:t>
      </w:r>
    </w:p>
    <w:p>
      <w:pPr>
        <w:pStyle w:val="Paragrafoelenco"/>
        <w:numPr>
          <w:ilvl w:val="0"/>
          <w:numId w:val="0"/>
        </w:numPr>
        <w:bidi w:val="0"/>
        <w:spacing w:lineRule="auto" w:line="240" w:before="0" w:after="0"/>
        <w:ind w:left="720" w:right="0" w:hanging="0"/>
        <w:contextualSpacing/>
        <w:jc w:val="both"/>
        <w:rPr>
          <w:rFonts w:ascii="Arial" w:hAnsi="Arial"/>
          <w:sz w:val="22"/>
          <w:szCs w:val="22"/>
        </w:rPr>
      </w:pPr>
      <w:r>
        <w:rPr>
          <w:rFonts w:cs="Times New Roman" w:ascii="Arial" w:hAnsi="Arial"/>
          <w:bCs/>
          <w:sz w:val="22"/>
          <w:szCs w:val="22"/>
        </w:rPr>
        <w:t>La riqualificazione alberghiera comporta per l’esercizio una classificazione superiore a quella precedentemente attribuita di almeno una stella e dalla quale risulti una classificazione minima dell’esercizio alberghiero pari a 3 stelle. A tal fine, é stata creata anche per il condhotel una griglia di classificazione, da 3 a 5 stelle, nonché l’adozione di uno specifico logo distintivo, integrando conseguentemente le disposizioni regionali in materia di classificazione delle aziende alberghiere.</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sz w:val="22"/>
          <w:szCs w:val="22"/>
        </w:rPr>
      </w:pPr>
      <w:r>
        <w:rPr>
          <w:rFonts w:ascii="Arial" w:hAnsi="Arial"/>
          <w:b/>
          <w:bCs/>
          <w:sz w:val="22"/>
          <w:szCs w:val="22"/>
        </w:rPr>
        <w:t xml:space="preserve">Logo distintivo </w:t>
      </w:r>
    </w:p>
    <w:p>
      <w:pPr>
        <w:pStyle w:val="Testopreformattato"/>
        <w:bidi w:val="0"/>
        <w:spacing w:before="0" w:after="0"/>
        <w:jc w:val="both"/>
        <w:rPr>
          <w:rFonts w:ascii="Arial" w:hAnsi="Arial"/>
          <w:sz w:val="22"/>
          <w:szCs w:val="22"/>
        </w:rPr>
      </w:pPr>
      <w:r>
        <w:rPr>
          <w:rFonts w:ascii="Arial" w:hAnsi="Arial"/>
          <w:sz w:val="22"/>
          <w:szCs w:val="22"/>
        </w:rPr>
        <w:t>Gli alberghi diffusi devono dotarsi di apposita targa contenente il simbolo o logo che identifica l’attività svolta secondo le modalità indicate all’articolo 9, comma 4, del Regolamento di attuazione in luogo ben visibile presso la struttura ricettiva. A tal fine, occorre consultare l’Allegato D del regolamento di attuazione 15 maggio 2017, n. 9/R</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sz w:val="22"/>
          <w:szCs w:val="22"/>
        </w:rPr>
      </w:pPr>
      <w:r>
        <w:rPr>
          <w:rFonts w:ascii="Arial" w:hAnsi="Arial"/>
          <w:b/>
          <w:bCs/>
          <w:sz w:val="22"/>
          <w:szCs w:val="22"/>
        </w:rPr>
        <w:t xml:space="preserve">Altri obblighi amministrativi </w:t>
      </w:r>
    </w:p>
    <w:p>
      <w:pPr>
        <w:pStyle w:val="Testopreformattato"/>
        <w:bidi w:val="0"/>
        <w:spacing w:before="0" w:after="0"/>
        <w:jc w:val="both"/>
        <w:rPr>
          <w:rFonts w:ascii="Arial" w:hAnsi="Arial"/>
          <w:sz w:val="22"/>
          <w:szCs w:val="22"/>
        </w:rPr>
      </w:pPr>
      <w:r>
        <w:rPr>
          <w:rFonts w:ascii="Arial" w:hAnsi="Arial"/>
          <w:sz w:val="22"/>
          <w:szCs w:val="22"/>
        </w:rPr>
        <w:t xml:space="preserve">Il titolare o gestore dell’esercizio in condhotel assolve ai seguenti obblighi: </w:t>
      </w:r>
    </w:p>
    <w:p>
      <w:pPr>
        <w:pStyle w:val="ListParagraph"/>
        <w:bidi w:val="0"/>
        <w:spacing w:before="0" w:after="0"/>
        <w:ind w:left="720" w:right="0" w:hanging="0"/>
        <w:jc w:val="both"/>
        <w:rPr>
          <w:rFonts w:ascii="Arial" w:hAnsi="Arial"/>
          <w:sz w:val="22"/>
          <w:szCs w:val="22"/>
        </w:rPr>
      </w:pPr>
      <w:r>
        <w:rPr>
          <w:rFonts w:eastAsia="NSimSun" w:cs="Times New Roman" w:ascii="Arial" w:hAnsi="Arial"/>
          <w:bCs/>
          <w:sz w:val="22"/>
          <w:szCs w:val="22"/>
        </w:rPr>
        <w:t xml:space="preserve">• </w:t>
      </w:r>
      <w:r>
        <w:rPr>
          <w:rFonts w:eastAsia="NSimSun" w:cs="Times New Roman" w:ascii="Arial" w:hAnsi="Arial"/>
          <w:bCs/>
          <w:sz w:val="22"/>
          <w:szCs w:val="22"/>
        </w:rPr>
        <w:t>d</w:t>
      </w:r>
      <w:r>
        <w:rPr>
          <w:rFonts w:cs="Times New Roman" w:ascii="Arial" w:hAnsi="Arial"/>
          <w:bCs/>
          <w:sz w:val="22"/>
          <w:szCs w:val="22"/>
        </w:rPr>
        <w:t xml:space="preserve">ata la promiscuità tra proprietari di unità abitative ad uso residenziale ed ospiti della struttura alberghiera, </w:t>
      </w:r>
      <w:r>
        <w:rPr>
          <w:rFonts w:eastAsia="NSimSun" w:cs="Times New Roman" w:ascii="Arial" w:hAnsi="Arial"/>
          <w:bCs/>
          <w:color w:val="auto"/>
          <w:kern w:val="0"/>
          <w:sz w:val="22"/>
          <w:szCs w:val="22"/>
          <w:lang w:val="it-IT" w:eastAsia="zh-CN" w:bidi="hi-IN"/>
        </w:rPr>
        <w:t xml:space="preserve">garantire </w:t>
      </w:r>
      <w:r>
        <w:rPr>
          <w:rFonts w:cs="Times New Roman" w:ascii="Arial" w:hAnsi="Arial"/>
          <w:bCs/>
          <w:sz w:val="22"/>
          <w:szCs w:val="22"/>
        </w:rPr>
        <w:t xml:space="preserve">l’esigenza di sicurezza e dei relativi controlli </w:t>
      </w:r>
      <w:r>
        <w:rPr>
          <w:rFonts w:eastAsia="NSimSun" w:cs="Times New Roman" w:ascii="Arial" w:hAnsi="Arial"/>
          <w:bCs/>
          <w:color w:val="auto"/>
          <w:kern w:val="0"/>
          <w:sz w:val="22"/>
          <w:szCs w:val="22"/>
          <w:lang w:val="it-IT" w:eastAsia="zh-CN" w:bidi="hi-IN"/>
        </w:rPr>
        <w:t xml:space="preserve">attraverso l’identificazione </w:t>
      </w:r>
      <w:r>
        <w:rPr>
          <w:rFonts w:cs="Times New Roman" w:ascii="Arial" w:hAnsi="Arial"/>
          <w:b w:val="false"/>
          <w:bCs w:val="false"/>
          <w:sz w:val="22"/>
          <w:szCs w:val="22"/>
        </w:rPr>
        <w:t>anche degli ospiti delle unità abitative a destinazione residenziale;</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 xml:space="preserve">comunicare giornalmente all’Autorità di pubblica sicurezza l’arrivo delle persone alloggiate e le relative generalità accreditandosi sul portale della Polizia di Stato: www.alloggiatiweb.it; </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comunicare mensilmente i flussi turistici ai fini ISTAT (arrivati, partiti e presenti, italiani e stranieri) sulla piattaforma informatizzata denominata ROSS 1000 gestita dall’Osservatorio turistico regionale;</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comunicare annualmente entro il 1° ottobre di ogni anno sulla piattaforma informatizzata denominata ROSS 1000 le caratteristiche e i prezzi che si intendono applicare dal 1° gennaio dell’anno seguente in riferimento a quanto disposto dalla legge regionale n. 22/1995;</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esporre in modo ben visibile al pubblico, nel locale di ricevimento degli ospiti, una tabella (modello predisposto dalla struttura regionale competente) sulla quale sono indicati i prezzi conformemente all’ultima comunicazione trasmessa tramite ROSS 1000 in riferimento a quanto disposto dalla legge regionale n.22/1995;</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esporre dietro alla porta di ciascuna camera/unità abitativa, un cartellino (modello predisposto dalla struttura regionale competente) contenente il prezzo dei servizi medesimi, conformemente a quelli comunicati su ROSS 1000 in riferimento a quanto disposto dalla legge regionale n.22/95;</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esporre il segno distintivo della classe assegnata, sulla scorta dei contenuti di cui all’Allegato D del regolamento di attuazione n. 9/2017;</w:t>
      </w:r>
    </w:p>
    <w:p>
      <w:pPr>
        <w:pStyle w:val="Testopreformattato"/>
        <w:bidi w:val="0"/>
        <w:spacing w:before="0" w:after="0"/>
        <w:jc w:val="both"/>
        <w:rPr>
          <w:rFonts w:ascii="Arial" w:hAnsi="Arial"/>
          <w:sz w:val="22"/>
          <w:szCs w:val="22"/>
        </w:rPr>
      </w:pPr>
      <w:r>
        <w:rPr>
          <w:rFonts w:ascii="Arial" w:hAnsi="Arial"/>
          <w:sz w:val="22"/>
          <w:szCs w:val="22"/>
        </w:rPr>
        <w:t xml:space="preserve">• </w:t>
      </w:r>
      <w:r>
        <w:rPr>
          <w:rFonts w:ascii="Arial" w:hAnsi="Arial"/>
          <w:sz w:val="22"/>
          <w:szCs w:val="22"/>
        </w:rPr>
        <w:t xml:space="preserve">esporre all’interno di ogni struttura in modo ben visibile copia della SCIA corredata dalla ricevuta dell’avvenuta trasmissione al SUAP. </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b/>
          <w:b/>
          <w:bCs/>
          <w:sz w:val="22"/>
          <w:szCs w:val="22"/>
        </w:rPr>
      </w:pPr>
      <w:r>
        <w:rPr>
          <w:rFonts w:ascii="Arial" w:hAnsi="Arial"/>
          <w:b/>
          <w:bCs/>
          <w:sz w:val="22"/>
          <w:szCs w:val="22"/>
        </w:rPr>
        <w:t>PIEMONTE DATI TURISMO (ROSS 1000)</w:t>
      </w:r>
    </w:p>
    <w:p>
      <w:pPr>
        <w:pStyle w:val="Testopreformattato"/>
        <w:bidi w:val="0"/>
        <w:spacing w:before="0" w:after="0"/>
        <w:jc w:val="both"/>
        <w:rPr>
          <w:rFonts w:ascii="Arial" w:hAnsi="Arial"/>
          <w:sz w:val="22"/>
          <w:szCs w:val="22"/>
        </w:rPr>
      </w:pPr>
      <w:r>
        <w:rPr>
          <w:rFonts w:ascii="Arial" w:hAnsi="Arial"/>
          <w:sz w:val="22"/>
          <w:szCs w:val="22"/>
        </w:rPr>
        <w:t xml:space="preserve">E' il servizio di comunicazione ON LINE dei dati ISTAT sui flussi turistici e della comunicazione ON LINE delle caratteristiche e dei prezzi. Il servizio è gratuito e raggiungibile da postazione PC fissa e device mobili - notebook , smartphone, tablet.  </w:t>
      </w:r>
    </w:p>
    <w:p>
      <w:pPr>
        <w:pStyle w:val="Testopreformattato"/>
        <w:bidi w:val="0"/>
        <w:spacing w:before="0" w:after="0"/>
        <w:jc w:val="both"/>
        <w:rPr>
          <w:rFonts w:ascii="Arial" w:hAnsi="Arial"/>
          <w:sz w:val="22"/>
          <w:szCs w:val="22"/>
        </w:rPr>
      </w:pPr>
      <w:r>
        <w:rPr>
          <w:rFonts w:ascii="Arial" w:hAnsi="Arial"/>
          <w:sz w:val="22"/>
          <w:szCs w:val="22"/>
        </w:rPr>
        <w:t>Per l’accreditamento alla piattaforma ROSS 1000 è necessario inviare un’e-mail al seguente indirizzo: hd_datiturismo@visitpiemonte-dmo.org e un operatore dell’Osservatorio turistico regionale provvederà a ricontattarvi.</w:t>
      </w:r>
    </w:p>
    <w:p>
      <w:pPr>
        <w:pStyle w:val="Testopreformattato"/>
        <w:bidi w:val="0"/>
        <w:spacing w:before="0" w:after="0"/>
        <w:jc w:val="both"/>
        <w:rPr>
          <w:rFonts w:ascii="Arial" w:hAnsi="Arial"/>
          <w:sz w:val="22"/>
          <w:szCs w:val="22"/>
        </w:rPr>
      </w:pPr>
      <w:r>
        <w:rPr>
          <w:rFonts w:ascii="Arial" w:hAnsi="Arial"/>
          <w:sz w:val="22"/>
          <w:szCs w:val="22"/>
        </w:rPr>
      </w:r>
    </w:p>
    <w:p>
      <w:pPr>
        <w:pStyle w:val="Testopreformattato"/>
        <w:bidi w:val="0"/>
        <w:spacing w:before="0" w:after="0"/>
        <w:jc w:val="both"/>
        <w:rPr>
          <w:rFonts w:ascii="Arial" w:hAnsi="Arial"/>
          <w:sz w:val="22"/>
          <w:szCs w:val="22"/>
        </w:rPr>
      </w:pPr>
      <w:r>
        <w:rPr>
          <w:rFonts w:ascii="Arial" w:hAnsi="Arial"/>
          <w:b/>
          <w:bCs/>
          <w:sz w:val="22"/>
          <w:szCs w:val="22"/>
        </w:rPr>
        <w:t xml:space="preserve">Funzioni di vigilanza e controllo </w:t>
      </w:r>
    </w:p>
    <w:p>
      <w:pPr>
        <w:pStyle w:val="Testopreformattato"/>
        <w:bidi w:val="0"/>
        <w:spacing w:before="0" w:after="0"/>
        <w:jc w:val="both"/>
        <w:rPr>
          <w:rFonts w:ascii="Arial" w:hAnsi="Arial"/>
          <w:sz w:val="22"/>
          <w:szCs w:val="22"/>
        </w:rPr>
      </w:pPr>
      <w:r>
        <w:rPr>
          <w:rFonts w:ascii="Arial" w:hAnsi="Arial"/>
          <w:sz w:val="22"/>
          <w:szCs w:val="22"/>
        </w:rPr>
        <w:t xml:space="preserve">Ferme restando le competenze dell’Autorità di Pubblica Sicurezza, le funzioni di vigilanza e di controllo sull’osservanza delle disposizioni di legge sono esercitate dal comune ai sensi dell’articolo 4, comma 1, lettera g) della l.r.5 marzo 1987, n.12. </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Calibri">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sz w:val="24"/>
        <w:szCs w:val="24"/>
        <w:lang w:val="it-IT"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NSimSun" w:cs="Mangal"/>
      <w:color w:val="auto"/>
      <w:kern w:val="0"/>
      <w:sz w:val="24"/>
      <w:szCs w:val="24"/>
      <w:lang w:val="it-IT" w:eastAsia="zh-CN" w:bidi="hi-IN"/>
    </w:rPr>
  </w:style>
  <w:style w:type="paragraph" w:styleId="Titolo">
    <w:name w:val="Titolo"/>
    <w:basedOn w:val="Normal"/>
    <w:next w:val="Corpodeltesto"/>
    <w:qFormat/>
    <w:pPr>
      <w:keepNext w:val="true"/>
      <w:spacing w:before="240" w:after="120"/>
    </w:pPr>
    <w:rPr>
      <w:rFonts w:ascii="Liberation Sans" w:hAnsi="Liberation Sans" w:eastAsia="Microsoft YaHei" w:cs="Mang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Mangal"/>
    </w:rPr>
  </w:style>
  <w:style w:type="paragraph" w:styleId="Didascalia">
    <w:name w:val="Caption"/>
    <w:basedOn w:val="Normal"/>
    <w:qFormat/>
    <w:pPr>
      <w:suppressLineNumbers/>
      <w:spacing w:before="120" w:after="120"/>
    </w:pPr>
    <w:rPr>
      <w:rFonts w:cs="Mangal"/>
      <w:i/>
      <w:iCs/>
      <w:sz w:val="24"/>
      <w:szCs w:val="24"/>
    </w:rPr>
  </w:style>
  <w:style w:type="paragraph" w:styleId="Indice">
    <w:name w:val="Indice"/>
    <w:basedOn w:val="Normal"/>
    <w:qFormat/>
    <w:pPr>
      <w:suppressLineNumbers/>
    </w:pPr>
    <w:rPr>
      <w:rFonts w:cs="Mangal"/>
    </w:rPr>
  </w:style>
  <w:style w:type="paragraph" w:styleId="Testopreformattato">
    <w:name w:val="Testo preformattato"/>
    <w:basedOn w:val="Normal"/>
    <w:qFormat/>
    <w:pPr>
      <w:spacing w:before="0" w:after="0"/>
    </w:pPr>
    <w:rPr>
      <w:rFonts w:ascii="Liberation Mono" w:hAnsi="Liberation Mono" w:eastAsia="NSimSun" w:cs="Liberation Mono"/>
      <w:sz w:val="20"/>
      <w:szCs w:val="20"/>
    </w:rPr>
  </w:style>
  <w:style w:type="paragraph" w:styleId="Paragrafoelenco">
    <w:name w:val="Paragrafo elenco"/>
    <w:basedOn w:val="Normal"/>
    <w:qFormat/>
    <w:pPr>
      <w:spacing w:before="0" w:after="160"/>
      <w:ind w:left="720" w:right="0" w:hanging="0"/>
      <w:contextualSpacing/>
    </w:pPr>
    <w:rPr/>
  </w:style>
  <w:style w:type="paragraph" w:styleId="ListParagraph">
    <w:name w:val="List Paragraph"/>
    <w:basedOn w:val="Normal"/>
    <w:qFormat/>
    <w:pPr>
      <w:spacing w:lineRule="auto" w:line="240" w:before="0" w:after="0"/>
      <w:ind w:left="720" w:right="0" w:hanging="0"/>
    </w:pPr>
    <w:rPr>
      <w:rFonts w:ascii="Calibri" w:hAnsi="Calibri" w:cs="Calib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184</TotalTime>
  <Application>LibreOffice/7.0.4.2$Windows_X86_64 LibreOffice_project/dcf040e67528d9187c66b2379df5ea4407429775</Application>
  <AppVersion>15.0000</AppVersion>
  <Pages>3</Pages>
  <Words>1593</Words>
  <Characters>9952</Characters>
  <CharactersWithSpaces>11526</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2022-07-29T12:53:16Z</dcterms:created>
  <dc:creator/>
  <dc:description/>
  <dc:language>it-IT</dc:language>
  <cp:lastModifiedBy/>
  <dcterms:modified xsi:type="dcterms:W3CDTF">2022-08-01T15:37:37Z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file>