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cs="Times New Roman"/>
          <w:b/>
          <w:b/>
          <w:szCs w:val="24"/>
        </w:rPr>
      </w:pPr>
      <w:r>
        <w:rPr>
          <w:rFonts w:cs="Times New Roman"/>
          <w:b/>
          <w:szCs w:val="24"/>
        </w:rPr>
      </w:r>
    </w:p>
    <w:p>
      <w:pPr>
        <w:pStyle w:val="Normal"/>
        <w:jc w:val="center"/>
        <w:rPr>
          <w:rFonts w:cs="Times New Roman"/>
          <w:color w:val="00000A"/>
          <w:sz w:val="24"/>
          <w:szCs w:val="24"/>
        </w:rPr>
      </w:pPr>
      <w:r>
        <w:rPr/>
        <w:drawing>
          <wp:inline distT="0" distB="0" distL="0" distR="0">
            <wp:extent cx="1684020" cy="50736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3" t="-21" r="49644" b="-13312"/>
                    <a:stretch>
                      <a:fillRect/>
                    </a:stretch>
                  </pic:blipFill>
                  <pic:spPr bwMode="auto">
                    <a:xfrm>
                      <a:off x="0" y="0"/>
                      <a:ext cx="1684020" cy="507365"/>
                    </a:xfrm>
                    <a:prstGeom prst="rect">
                      <a:avLst/>
                    </a:prstGeom>
                  </pic:spPr>
                </pic:pic>
              </a:graphicData>
            </a:graphic>
          </wp:inline>
        </w:drawing>
      </w:r>
    </w:p>
    <w:p>
      <w:pPr>
        <w:pStyle w:val="Normal"/>
        <w:jc w:val="both"/>
        <w:rPr>
          <w:rFonts w:cs="Times New Roman"/>
          <w:color w:val="00000A"/>
          <w:sz w:val="24"/>
          <w:szCs w:val="24"/>
        </w:rPr>
      </w:pPr>
      <w:r>
        <w:rPr>
          <w:rFonts w:cs="Times New Roman"/>
          <w:color w:val="00000A"/>
          <w:sz w:val="24"/>
          <w:szCs w:val="24"/>
        </w:rPr>
      </w:r>
    </w:p>
    <w:p>
      <w:pPr>
        <w:pStyle w:val="Normal"/>
        <w:jc w:val="both"/>
        <w:rPr>
          <w:rFonts w:cs="Times New Roman"/>
          <w:color w:val="00000A"/>
          <w:sz w:val="24"/>
          <w:szCs w:val="24"/>
        </w:rPr>
      </w:pPr>
      <w:r>
        <w:rPr>
          <w:rFonts w:cs="Times New Roman"/>
          <w:color w:val="00000A"/>
          <w:sz w:val="24"/>
          <w:szCs w:val="24"/>
        </w:rPr>
      </w:r>
    </w:p>
    <w:p>
      <w:pPr>
        <w:pStyle w:val="Normal"/>
        <w:jc w:val="both"/>
        <w:rPr>
          <w:rFonts w:cs="Times New Roman"/>
          <w:color w:val="00000A"/>
          <w:sz w:val="24"/>
          <w:szCs w:val="24"/>
        </w:rPr>
      </w:pPr>
      <w:r>
        <w:rPr>
          <w:rFonts w:cs="Times New Roman"/>
          <w:color w:val="00000A"/>
          <w:sz w:val="24"/>
          <w:szCs w:val="24"/>
        </w:rPr>
      </w:r>
    </w:p>
    <w:p>
      <w:pPr>
        <w:pStyle w:val="Normal"/>
        <w:jc w:val="both"/>
        <w:rPr>
          <w:rFonts w:cs="Times New Roman"/>
          <w:b/>
          <w:b/>
          <w:bCs/>
          <w:color w:val="00000A"/>
          <w:sz w:val="26"/>
          <w:szCs w:val="26"/>
        </w:rPr>
      </w:pPr>
      <w:r>
        <w:rPr>
          <w:rFonts w:cs="Times New Roman"/>
          <w:b/>
          <w:bCs/>
          <w:color w:val="00000A"/>
          <w:sz w:val="26"/>
          <w:szCs w:val="26"/>
        </w:rPr>
        <w:t>AVVISO PUBBLICO PER LA RICERCA DI PUNTI PRIVATI DI VACCINAZIONE ANTI COVID 19.</w:t>
      </w:r>
    </w:p>
    <w:p>
      <w:pPr>
        <w:pStyle w:val="Normal"/>
        <w:jc w:val="both"/>
        <w:rPr>
          <w:rFonts w:cs="Times New Roman"/>
          <w:color w:val="00000A"/>
          <w:sz w:val="24"/>
          <w:szCs w:val="24"/>
        </w:rPr>
      </w:pPr>
      <w:r>
        <w:rPr>
          <w:rFonts w:cs="Times New Roman"/>
          <w:color w:val="00000A"/>
          <w:sz w:val="24"/>
          <w:szCs w:val="24"/>
        </w:rPr>
        <w:t>Il presente avviso è rivolto ad acquisire la disponibilità di soggetti abilitati all’esercizio dell’attività sanitaria in grado di mettere a disposizione locali e risorse umane per l’erogazione di prestazioni di somministrazione dei vaccini anti-Covid 19 a supporto delle aziende sanitarie piemontesi.</w:t>
      </w:r>
    </w:p>
    <w:p>
      <w:pPr>
        <w:pStyle w:val="Normal"/>
        <w:jc w:val="both"/>
        <w:rPr/>
      </w:pPr>
      <w:r>
        <w:rPr>
          <w:rFonts w:eastAsia="Times New Roman" w:cs="Times New Roman"/>
          <w:color w:val="00000A"/>
          <w:sz w:val="24"/>
          <w:szCs w:val="24"/>
        </w:rPr>
        <w:t xml:space="preserve"> </w:t>
      </w:r>
      <w:r>
        <w:rPr>
          <w:rFonts w:cs="Times New Roman"/>
          <w:color w:val="00000A"/>
          <w:sz w:val="24"/>
          <w:szCs w:val="24"/>
        </w:rPr>
        <w:t xml:space="preserve">A seguito della presentazione delle domande, che sarà possibile effettuare per tutta la durata dello “stato di emergenza”, verrà redatto un elenco di soggetti disponibili che sarà trasmesso all’azienda  sanitaria territorialmente competente, la quale verificherà, tramite le proprie strutture, il possesso dei requisiti previsti e l’idoneità del centro alla funzione richiesta. La stessa, sulla base di valutazioni di necessità ed opportunità, stipulerà quindi il contratto per l’acquisizione delle prestazioni di somministrazioni di vaccino. </w:t>
      </w:r>
    </w:p>
    <w:p>
      <w:pPr>
        <w:pStyle w:val="Normal"/>
        <w:jc w:val="both"/>
        <w:rPr>
          <w:rFonts w:cs="Times New Roman"/>
          <w:b/>
          <w:b/>
          <w:bCs/>
          <w:color w:val="00000A"/>
          <w:sz w:val="24"/>
          <w:szCs w:val="24"/>
        </w:rPr>
      </w:pPr>
      <w:r>
        <w:rPr>
          <w:rFonts w:cs="Times New Roman"/>
          <w:b/>
          <w:bCs/>
          <w:color w:val="00000A"/>
          <w:sz w:val="24"/>
          <w:szCs w:val="24"/>
        </w:rPr>
      </w:r>
    </w:p>
    <w:p>
      <w:pPr>
        <w:pStyle w:val="Normal"/>
        <w:jc w:val="both"/>
        <w:rPr>
          <w:rFonts w:cs="Times New Roman"/>
          <w:b/>
          <w:b/>
          <w:bCs/>
          <w:color w:val="00000A"/>
          <w:sz w:val="24"/>
          <w:szCs w:val="24"/>
        </w:rPr>
      </w:pPr>
      <w:r>
        <w:rPr>
          <w:rFonts w:cs="Times New Roman"/>
          <w:b/>
          <w:bCs/>
          <w:color w:val="00000A"/>
          <w:sz w:val="24"/>
          <w:szCs w:val="24"/>
        </w:rPr>
        <w:t xml:space="preserve">Destinatari dell’avviso </w:t>
      </w:r>
    </w:p>
    <w:p>
      <w:pPr>
        <w:pStyle w:val="Normal"/>
        <w:jc w:val="both"/>
        <w:rPr/>
      </w:pPr>
      <w:r>
        <w:rPr>
          <w:rFonts w:cs="Times New Roman"/>
          <w:b w:val="false"/>
          <w:bCs w:val="false"/>
          <w:color w:val="00000A"/>
          <w:sz w:val="24"/>
          <w:szCs w:val="24"/>
        </w:rPr>
        <w:t>Possono</w:t>
      </w:r>
      <w:r>
        <w:rPr>
          <w:rFonts w:cs="Times New Roman"/>
          <w:b/>
          <w:bCs/>
          <w:color w:val="00000A"/>
          <w:sz w:val="24"/>
          <w:szCs w:val="24"/>
        </w:rPr>
        <w:t xml:space="preserve"> </w:t>
      </w:r>
      <w:r>
        <w:rPr>
          <w:rFonts w:cs="Times New Roman"/>
          <w:b w:val="false"/>
          <w:bCs w:val="false"/>
          <w:color w:val="00000A"/>
          <w:sz w:val="24"/>
          <w:szCs w:val="24"/>
        </w:rPr>
        <w:t xml:space="preserve">presentare istanza </w:t>
      </w:r>
    </w:p>
    <w:p>
      <w:pPr>
        <w:pStyle w:val="ListParagraph"/>
        <w:numPr>
          <w:ilvl w:val="0"/>
          <w:numId w:val="1"/>
        </w:numPr>
        <w:jc w:val="both"/>
        <w:rPr>
          <w:rFonts w:cs="Times New Roman"/>
          <w:b w:val="false"/>
          <w:b w:val="false"/>
          <w:bCs w:val="false"/>
          <w:color w:val="00000A"/>
          <w:sz w:val="24"/>
          <w:szCs w:val="24"/>
        </w:rPr>
      </w:pPr>
      <w:r>
        <w:rPr>
          <w:rFonts w:cs="Times New Roman"/>
          <w:b w:val="false"/>
          <w:bCs w:val="false"/>
          <w:color w:val="00000A"/>
          <w:sz w:val="24"/>
          <w:szCs w:val="24"/>
        </w:rPr>
        <w:t>strutture autorizzate, adibite abitualmente ad attività sanitarie, aventi  aree disponibili separate da quelle utilizzate nell’attività ordinaria</w:t>
      </w:r>
    </w:p>
    <w:p>
      <w:pPr>
        <w:pStyle w:val="ListParagraph"/>
        <w:numPr>
          <w:ilvl w:val="0"/>
          <w:numId w:val="1"/>
        </w:numPr>
        <w:jc w:val="both"/>
        <w:rPr>
          <w:rFonts w:cs="Times New Roman"/>
          <w:b w:val="false"/>
          <w:b w:val="false"/>
          <w:bCs w:val="false"/>
          <w:color w:val="00000A"/>
          <w:sz w:val="24"/>
          <w:szCs w:val="24"/>
        </w:rPr>
      </w:pPr>
      <w:r>
        <w:rPr>
          <w:rFonts w:cs="Times New Roman"/>
          <w:b w:val="false"/>
          <w:bCs w:val="false"/>
          <w:color w:val="00000A"/>
          <w:sz w:val="24"/>
          <w:szCs w:val="24"/>
        </w:rPr>
        <w:t>strutture residenziali e semiresidenziali socio-sanitarie aventi  aree disponibili separate da quelle utilizzate nell’attività ordinaria</w:t>
      </w:r>
    </w:p>
    <w:p>
      <w:pPr>
        <w:pStyle w:val="ListParagraph"/>
        <w:numPr>
          <w:ilvl w:val="0"/>
          <w:numId w:val="1"/>
        </w:numPr>
        <w:jc w:val="both"/>
        <w:rPr>
          <w:rFonts w:cs="Times New Roman"/>
          <w:b w:val="false"/>
          <w:b w:val="false"/>
          <w:bCs w:val="false"/>
          <w:color w:val="00000A"/>
          <w:sz w:val="24"/>
          <w:szCs w:val="24"/>
        </w:rPr>
      </w:pPr>
      <w:r>
        <w:rPr>
          <w:rFonts w:cs="Times New Roman"/>
          <w:b w:val="false"/>
          <w:bCs w:val="false"/>
          <w:color w:val="00000A"/>
          <w:sz w:val="24"/>
          <w:szCs w:val="24"/>
        </w:rPr>
        <w:t>studi medici non soggetti ad autorizzazione</w:t>
      </w:r>
    </w:p>
    <w:p>
      <w:pPr>
        <w:pStyle w:val="ListParagraph"/>
        <w:numPr>
          <w:ilvl w:val="0"/>
          <w:numId w:val="1"/>
        </w:numPr>
        <w:jc w:val="both"/>
        <w:rPr>
          <w:rFonts w:cs="Times New Roman"/>
          <w:b w:val="false"/>
          <w:b w:val="false"/>
          <w:bCs w:val="false"/>
          <w:color w:val="00000A"/>
          <w:sz w:val="24"/>
          <w:szCs w:val="24"/>
        </w:rPr>
      </w:pPr>
      <w:r>
        <w:rPr>
          <w:rFonts w:cs="Times New Roman"/>
          <w:b w:val="false"/>
          <w:bCs w:val="false"/>
          <w:color w:val="00000A"/>
          <w:sz w:val="24"/>
          <w:szCs w:val="24"/>
        </w:rPr>
        <w:t>soggetti abilitati all’esercizio dell’attività sanitaria, che si strutturano per effettuare l’attività vaccinale, anche mediante mezzi mobili</w:t>
      </w:r>
    </w:p>
    <w:p>
      <w:pPr>
        <w:pStyle w:val="ListParagraph"/>
        <w:ind w:left="2160" w:right="0" w:hanging="0"/>
        <w:jc w:val="both"/>
        <w:rPr>
          <w:rFonts w:cs="Times New Roman"/>
          <w:b w:val="false"/>
          <w:b w:val="false"/>
          <w:bCs w:val="false"/>
          <w:color w:val="00000A"/>
          <w:sz w:val="24"/>
          <w:szCs w:val="24"/>
        </w:rPr>
      </w:pPr>
      <w:r>
        <w:rPr>
          <w:rFonts w:cs="Times New Roman"/>
          <w:b w:val="false"/>
          <w:bCs w:val="false"/>
          <w:color w:val="00000A"/>
          <w:sz w:val="24"/>
          <w:szCs w:val="24"/>
        </w:rPr>
      </w:r>
    </w:p>
    <w:p>
      <w:pPr>
        <w:pStyle w:val="Normal"/>
        <w:jc w:val="both"/>
        <w:rPr>
          <w:rFonts w:cs="Times New Roman"/>
          <w:b/>
          <w:b/>
          <w:bCs/>
          <w:color w:val="00000A"/>
          <w:sz w:val="24"/>
          <w:szCs w:val="24"/>
        </w:rPr>
      </w:pPr>
      <w:r>
        <w:rPr>
          <w:rFonts w:cs="Times New Roman"/>
          <w:b/>
          <w:bCs/>
          <w:color w:val="00000A"/>
          <w:sz w:val="24"/>
          <w:szCs w:val="24"/>
        </w:rPr>
        <w:t>Tariffe</w:t>
      </w:r>
    </w:p>
    <w:p>
      <w:pPr>
        <w:pStyle w:val="Normal"/>
        <w:jc w:val="both"/>
        <w:rPr>
          <w:rFonts w:cs="Times New Roman"/>
          <w:b w:val="false"/>
          <w:b w:val="false"/>
          <w:bCs w:val="false"/>
          <w:color w:val="00000A"/>
          <w:sz w:val="24"/>
          <w:szCs w:val="24"/>
        </w:rPr>
      </w:pPr>
      <w:r>
        <w:rPr>
          <w:rFonts w:cs="Times New Roman"/>
          <w:b w:val="false"/>
          <w:bCs w:val="false"/>
          <w:color w:val="00000A"/>
          <w:sz w:val="24"/>
          <w:szCs w:val="24"/>
        </w:rPr>
        <w:t>Nelle more dell’individuazione a livello nazionale di una specifica tariffa, la remunerazione della prestazione vaccinale anti Covid-19 è individuata in 6,16 euro per singola somministrazione.</w:t>
      </w:r>
    </w:p>
    <w:p>
      <w:pPr>
        <w:pStyle w:val="Normal"/>
        <w:jc w:val="both"/>
        <w:rPr>
          <w:rFonts w:cs="Times New Roman"/>
          <w:b w:val="false"/>
          <w:b w:val="false"/>
          <w:bCs w:val="false"/>
          <w:color w:val="00000A"/>
          <w:sz w:val="24"/>
          <w:szCs w:val="24"/>
        </w:rPr>
      </w:pPr>
      <w:r>
        <w:rPr>
          <w:rFonts w:cs="Times New Roman"/>
          <w:b w:val="false"/>
          <w:bCs w:val="false"/>
          <w:color w:val="00000A"/>
          <w:sz w:val="24"/>
          <w:szCs w:val="24"/>
        </w:rPr>
        <w:t>E’ a carico del SSN la fornitura dei vaccini. L’azienda sanitaria che stipulerà il contratto fornirà le informazioni necessarie per la corretta resa delle prestazioni e le indicazioni per l’attivazione dei collegamenti informatici necessari per la gestione dei flussi informativi.</w:t>
      </w:r>
    </w:p>
    <w:p>
      <w:pPr>
        <w:pStyle w:val="Normal"/>
        <w:jc w:val="both"/>
        <w:rPr>
          <w:rFonts w:cs="Times New Roman"/>
          <w:b/>
          <w:b/>
          <w:bCs/>
          <w:color w:val="00000A"/>
          <w:sz w:val="24"/>
          <w:szCs w:val="24"/>
        </w:rPr>
      </w:pPr>
      <w:r>
        <w:rPr>
          <w:rFonts w:cs="Times New Roman"/>
          <w:b/>
          <w:bCs/>
          <w:color w:val="00000A"/>
          <w:sz w:val="24"/>
          <w:szCs w:val="24"/>
        </w:rPr>
      </w:r>
    </w:p>
    <w:p>
      <w:pPr>
        <w:pStyle w:val="Normal"/>
        <w:jc w:val="both"/>
        <w:rPr>
          <w:rFonts w:cs="Times New Roman"/>
          <w:b/>
          <w:b/>
          <w:bCs/>
          <w:color w:val="00000A"/>
          <w:sz w:val="24"/>
          <w:szCs w:val="24"/>
        </w:rPr>
      </w:pPr>
      <w:r>
        <w:rPr>
          <w:rFonts w:cs="Times New Roman"/>
          <w:b/>
          <w:bCs/>
          <w:color w:val="00000A"/>
          <w:sz w:val="24"/>
          <w:szCs w:val="24"/>
        </w:rPr>
        <w:t>Requisiti</w:t>
      </w:r>
    </w:p>
    <w:p>
      <w:pPr>
        <w:pStyle w:val="Normal"/>
        <w:jc w:val="both"/>
        <w:rPr>
          <w:rFonts w:cs="Times New Roman"/>
          <w:b w:val="false"/>
          <w:b w:val="false"/>
          <w:bCs w:val="false"/>
          <w:color w:val="00000A"/>
          <w:sz w:val="24"/>
          <w:szCs w:val="24"/>
        </w:rPr>
      </w:pPr>
      <w:r>
        <w:rPr>
          <w:rFonts w:cs="Times New Roman"/>
          <w:b w:val="false"/>
          <w:bCs w:val="false"/>
          <w:color w:val="00000A"/>
          <w:sz w:val="24"/>
          <w:szCs w:val="24"/>
        </w:rPr>
        <w:t>I requisiti tecnico-organizzativi richiesti sono indicati nelle ““Istruzioni operative per la vaccinazione anti-COVID 19 presso strutture ospedaliere private e strutture ambulatoriali private" e   nelle “Istruzioni operative per la vaccinazione anti-COVID 19 presso strutture le strutture residenziali e semiresidenziali sanitarie e sociosanitarie” allegate al presente avviso.</w:t>
      </w:r>
    </w:p>
    <w:p>
      <w:pPr>
        <w:pStyle w:val="Normal"/>
        <w:jc w:val="both"/>
        <w:rPr>
          <w:rFonts w:cs="Times New Roman"/>
          <w:color w:val="00000A"/>
          <w:sz w:val="24"/>
          <w:szCs w:val="24"/>
        </w:rPr>
      </w:pPr>
      <w:r>
        <w:rPr>
          <w:rFonts w:cs="Times New Roman"/>
          <w:color w:val="00000A"/>
          <w:sz w:val="24"/>
          <w:szCs w:val="24"/>
        </w:rPr>
      </w:r>
    </w:p>
    <w:p>
      <w:pPr>
        <w:pStyle w:val="Normal"/>
        <w:jc w:val="both"/>
        <w:rPr>
          <w:rFonts w:cs="Times New Roman"/>
          <w:color w:val="00000A"/>
          <w:sz w:val="24"/>
          <w:szCs w:val="24"/>
        </w:rPr>
      </w:pPr>
      <w:r>
        <w:rPr>
          <w:rFonts w:cs="Times New Roman"/>
          <w:color w:val="00000A"/>
          <w:sz w:val="24"/>
          <w:szCs w:val="24"/>
        </w:rPr>
      </w:r>
    </w:p>
    <w:p>
      <w:pPr>
        <w:pStyle w:val="Normal"/>
        <w:jc w:val="both"/>
        <w:rPr>
          <w:rFonts w:cs="Times New Roman"/>
          <w:color w:val="00000A"/>
          <w:sz w:val="24"/>
          <w:szCs w:val="24"/>
        </w:rPr>
      </w:pPr>
      <w:r>
        <w:rPr>
          <w:rFonts w:cs="Times New Roman"/>
          <w:color w:val="00000A"/>
          <w:sz w:val="24"/>
          <w:szCs w:val="24"/>
        </w:rPr>
      </w:r>
    </w:p>
    <w:p>
      <w:pPr>
        <w:pStyle w:val="Normal"/>
        <w:jc w:val="both"/>
        <w:rPr>
          <w:rFonts w:cs="Times New Roman"/>
          <w:color w:val="00000A"/>
          <w:sz w:val="24"/>
          <w:szCs w:val="24"/>
        </w:rPr>
      </w:pPr>
      <w:r>
        <w:rPr>
          <w:rFonts w:cs="Times New Roman"/>
          <w:color w:val="00000A"/>
          <w:sz w:val="24"/>
          <w:szCs w:val="24"/>
        </w:rPr>
      </w:r>
    </w:p>
    <w:p>
      <w:pPr>
        <w:pStyle w:val="Normal"/>
        <w:jc w:val="left"/>
        <w:rPr/>
      </w:pPr>
      <w:r>
        <w:rPr>
          <w:rFonts w:cs="Times New Roman"/>
          <w:b/>
          <w:bCs/>
          <w:color w:val="00000A"/>
          <w:sz w:val="28"/>
          <w:szCs w:val="28"/>
        </w:rPr>
        <w:t xml:space="preserve">Gli interessati potranno richiedere l'iscrizione all'elenco compilando il  fac simile di domanda e inviandolo alla mail: </w:t>
      </w:r>
      <w:r>
        <w:rPr>
          <w:rFonts w:cs="Times New Roman"/>
          <w:b/>
          <w:bCs/>
          <w:i/>
          <w:iCs/>
          <w:color w:val="3465A4"/>
          <w:sz w:val="28"/>
          <w:szCs w:val="28"/>
        </w:rPr>
        <w:t>regole.soggettierogatori@cert.regione.piemonte.it</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OpenSymbol">
    <w:altName w:val="Arial Unicode MS"/>
    <w:charset w:val="00"/>
    <w:family w:val="roman"/>
    <w:pitch w:val="variable"/>
  </w:font>
  <w:font w:name="Arial">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440"/>
        </w:tabs>
        <w:ind w:left="1440" w:hanging="360"/>
      </w:pPr>
      <w:rPr>
        <w:rFonts w:ascii="Symbol" w:hAnsi="Symbol" w:cs="Symbol" w:hint="default"/>
        <w:sz w:val="24"/>
        <w:b w:val="false"/>
        <w:rFonts w:cs="OpenSymbol;Arial Unicode MS"/>
      </w:rPr>
    </w:lvl>
    <w:lvl w:ilvl="1">
      <w:start w:val="1"/>
      <w:numFmt w:val="bullet"/>
      <w:lvlText w:val="◦"/>
      <w:lvlJc w:val="left"/>
      <w:pPr>
        <w:tabs>
          <w:tab w:val="num" w:pos="1800"/>
        </w:tabs>
        <w:ind w:left="1800" w:hanging="360"/>
      </w:pPr>
      <w:rPr>
        <w:rFonts w:ascii="OpenSymbol" w:hAnsi="OpenSymbol" w:cs="OpenSymbol" w:hint="default"/>
        <w:rFonts w:cs="OpenSymbol;Arial Unicode MS"/>
      </w:rPr>
    </w:lvl>
    <w:lvl w:ilvl="2">
      <w:start w:val="1"/>
      <w:numFmt w:val="bullet"/>
      <w:lvlText w:val="▪"/>
      <w:lvlJc w:val="left"/>
      <w:pPr>
        <w:tabs>
          <w:tab w:val="num" w:pos="2160"/>
        </w:tabs>
        <w:ind w:left="2160" w:hanging="360"/>
      </w:pPr>
      <w:rPr>
        <w:rFonts w:ascii="OpenSymbol" w:hAnsi="OpenSymbol" w:cs="OpenSymbol" w:hint="default"/>
        <w:rFonts w:cs="OpenSymbol;Arial Unicode MS"/>
      </w:rPr>
    </w:lvl>
    <w:lvl w:ilvl="3">
      <w:start w:val="1"/>
      <w:numFmt w:val="bullet"/>
      <w:lvlText w:val=""/>
      <w:lvlJc w:val="left"/>
      <w:pPr>
        <w:tabs>
          <w:tab w:val="num" w:pos="2520"/>
        </w:tabs>
        <w:ind w:left="2520" w:hanging="360"/>
      </w:pPr>
      <w:rPr>
        <w:rFonts w:ascii="Symbol" w:hAnsi="Symbol" w:cs="Symbol" w:hint="default"/>
        <w:rFonts w:cs="OpenSymbol;Arial Unicode MS"/>
      </w:rPr>
    </w:lvl>
    <w:lvl w:ilvl="4">
      <w:start w:val="1"/>
      <w:numFmt w:val="bullet"/>
      <w:lvlText w:val="◦"/>
      <w:lvlJc w:val="left"/>
      <w:pPr>
        <w:tabs>
          <w:tab w:val="num" w:pos="2880"/>
        </w:tabs>
        <w:ind w:left="2880" w:hanging="360"/>
      </w:pPr>
      <w:rPr>
        <w:rFonts w:ascii="OpenSymbol" w:hAnsi="OpenSymbol" w:cs="OpenSymbol" w:hint="default"/>
        <w:rFonts w:cs="OpenSymbol;Arial Unicode MS"/>
      </w:rPr>
    </w:lvl>
    <w:lvl w:ilvl="5">
      <w:start w:val="1"/>
      <w:numFmt w:val="bullet"/>
      <w:lvlText w:val="▪"/>
      <w:lvlJc w:val="left"/>
      <w:pPr>
        <w:tabs>
          <w:tab w:val="num" w:pos="3240"/>
        </w:tabs>
        <w:ind w:left="3240" w:hanging="360"/>
      </w:pPr>
      <w:rPr>
        <w:rFonts w:ascii="OpenSymbol" w:hAnsi="OpenSymbol" w:cs="OpenSymbol" w:hint="default"/>
        <w:rFonts w:cs="OpenSymbol;Arial Unicode MS"/>
      </w:rPr>
    </w:lvl>
    <w:lvl w:ilvl="6">
      <w:start w:val="1"/>
      <w:numFmt w:val="bullet"/>
      <w:lvlText w:val=""/>
      <w:lvlJc w:val="left"/>
      <w:pPr>
        <w:tabs>
          <w:tab w:val="num" w:pos="3600"/>
        </w:tabs>
        <w:ind w:left="3600" w:hanging="360"/>
      </w:pPr>
      <w:rPr>
        <w:rFonts w:ascii="Symbol" w:hAnsi="Symbol" w:cs="Symbol" w:hint="default"/>
        <w:rFonts w:cs="OpenSymbol;Arial Unicode MS"/>
      </w:rPr>
    </w:lvl>
    <w:lvl w:ilvl="7">
      <w:start w:val="1"/>
      <w:numFmt w:val="bullet"/>
      <w:lvlText w:val="◦"/>
      <w:lvlJc w:val="left"/>
      <w:pPr>
        <w:tabs>
          <w:tab w:val="num" w:pos="3960"/>
        </w:tabs>
        <w:ind w:left="3960" w:hanging="360"/>
      </w:pPr>
      <w:rPr>
        <w:rFonts w:ascii="OpenSymbol" w:hAnsi="OpenSymbol" w:cs="OpenSymbol" w:hint="default"/>
        <w:rFonts w:cs="OpenSymbol;Arial Unicode MS"/>
      </w:rPr>
    </w:lvl>
    <w:lvl w:ilvl="8">
      <w:start w:val="1"/>
      <w:numFmt w:val="bullet"/>
      <w:lvlText w:val="▪"/>
      <w:lvlJc w:val="left"/>
      <w:pPr>
        <w:tabs>
          <w:tab w:val="num" w:pos="4320"/>
        </w:tabs>
        <w:ind w:left="4320" w:hanging="360"/>
      </w:pPr>
      <w:rPr>
        <w:rFonts w:ascii="OpenSymbol" w:hAnsi="OpenSymbol" w:cs="OpenSymbol" w:hint="default"/>
        <w:rFonts w:cs="OpenSymbol;Arial Unicode M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06"/>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sz w:val="20"/>
        <w:szCs w:val="24"/>
        <w:lang w:val="it-IT"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Andale Sans UI;Arial Unicode MS" w:cs="Tahoma"/>
      <w:color w:val="auto"/>
      <w:kern w:val="2"/>
      <w:sz w:val="24"/>
      <w:szCs w:val="24"/>
      <w:lang w:val="zxx" w:eastAsia="zxx" w:bidi="zxx"/>
    </w:rPr>
  </w:style>
  <w:style w:type="character" w:styleId="WW8Num1z0">
    <w:name w:val="WW8Num1z0"/>
    <w:qFormat/>
    <w:rPr>
      <w:rFonts w:ascii="Symbol" w:hAnsi="Symbol" w:cs="OpenSymbol;Arial Unicode MS"/>
    </w:rPr>
  </w:style>
  <w:style w:type="character" w:styleId="WW8Num1z1">
    <w:name w:val="WW8Num1z1"/>
    <w:qFormat/>
    <w:rPr>
      <w:rFonts w:ascii="OpenSymbol;Arial Unicode MS" w:hAnsi="OpenSymbol;Arial Unicode MS" w:cs="OpenSymbol;Arial Unicode M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ListLabel1">
    <w:name w:val="ListLabel 1"/>
    <w:qFormat/>
    <w:rPr>
      <w:rFonts w:cs="OpenSymbol;Arial Unicode MS"/>
    </w:rPr>
  </w:style>
  <w:style w:type="character" w:styleId="ListLabel2">
    <w:name w:val="ListLabel 2"/>
    <w:qFormat/>
    <w:rPr>
      <w:rFonts w:cs="OpenSymbol;Arial Unicode MS"/>
    </w:rPr>
  </w:style>
  <w:style w:type="character" w:styleId="ListLabel3">
    <w:name w:val="ListLabel 3"/>
    <w:qFormat/>
    <w:rPr>
      <w:rFonts w:cs="OpenSymbol;Arial Unicode MS"/>
    </w:rPr>
  </w:style>
  <w:style w:type="character" w:styleId="ListLabel4">
    <w:name w:val="ListLabel 4"/>
    <w:qFormat/>
    <w:rPr>
      <w:rFonts w:cs="OpenSymbol;Arial Unicode MS"/>
    </w:rPr>
  </w:style>
  <w:style w:type="character" w:styleId="ListLabel5">
    <w:name w:val="ListLabel 5"/>
    <w:qFormat/>
    <w:rPr>
      <w:rFonts w:cs="OpenSymbol;Arial Unicode MS"/>
    </w:rPr>
  </w:style>
  <w:style w:type="character" w:styleId="ListLabel6">
    <w:name w:val="ListLabel 6"/>
    <w:qFormat/>
    <w:rPr>
      <w:rFonts w:cs="OpenSymbol;Arial Unicode MS"/>
    </w:rPr>
  </w:style>
  <w:style w:type="character" w:styleId="ListLabel7">
    <w:name w:val="ListLabel 7"/>
    <w:qFormat/>
    <w:rPr>
      <w:rFonts w:cs="OpenSymbol;Arial Unicode MS"/>
    </w:rPr>
  </w:style>
  <w:style w:type="character" w:styleId="ListLabel8">
    <w:name w:val="ListLabel 8"/>
    <w:qFormat/>
    <w:rPr>
      <w:rFonts w:cs="OpenSymbol;Arial Unicode MS"/>
    </w:rPr>
  </w:style>
  <w:style w:type="character" w:styleId="ListLabel9">
    <w:name w:val="ListLabel 9"/>
    <w:qFormat/>
    <w:rPr>
      <w:rFonts w:cs="OpenSymbol;Arial Unicode MS"/>
    </w:rPr>
  </w:style>
  <w:style w:type="character" w:styleId="ListLabel10">
    <w:name w:val="ListLabel 10"/>
    <w:qFormat/>
    <w:rPr>
      <w:rFonts w:cs="OpenSymbol;Arial Unicode MS"/>
      <w:b w:val="false"/>
      <w:sz w:val="24"/>
    </w:rPr>
  </w:style>
  <w:style w:type="character" w:styleId="ListLabel11">
    <w:name w:val="ListLabel 11"/>
    <w:qFormat/>
    <w:rPr>
      <w:rFonts w:cs="OpenSymbol;Arial Unicode MS"/>
    </w:rPr>
  </w:style>
  <w:style w:type="character" w:styleId="ListLabel12">
    <w:name w:val="ListLabel 12"/>
    <w:qFormat/>
    <w:rPr>
      <w:rFonts w:cs="OpenSymbol;Arial Unicode MS"/>
    </w:rPr>
  </w:style>
  <w:style w:type="character" w:styleId="ListLabel13">
    <w:name w:val="ListLabel 13"/>
    <w:qFormat/>
    <w:rPr>
      <w:rFonts w:cs="OpenSymbol;Arial Unicode MS"/>
    </w:rPr>
  </w:style>
  <w:style w:type="character" w:styleId="ListLabel14">
    <w:name w:val="ListLabel 14"/>
    <w:qFormat/>
    <w:rPr>
      <w:rFonts w:cs="OpenSymbol;Arial Unicode MS"/>
    </w:rPr>
  </w:style>
  <w:style w:type="character" w:styleId="ListLabel15">
    <w:name w:val="ListLabel 15"/>
    <w:qFormat/>
    <w:rPr>
      <w:rFonts w:cs="OpenSymbol;Arial Unicode MS"/>
    </w:rPr>
  </w:style>
  <w:style w:type="character" w:styleId="ListLabel16">
    <w:name w:val="ListLabel 16"/>
    <w:qFormat/>
    <w:rPr>
      <w:rFonts w:cs="OpenSymbol;Arial Unicode MS"/>
    </w:rPr>
  </w:style>
  <w:style w:type="character" w:styleId="ListLabel17">
    <w:name w:val="ListLabel 17"/>
    <w:qFormat/>
    <w:rPr>
      <w:rFonts w:cs="OpenSymbol;Arial Unicode MS"/>
    </w:rPr>
  </w:style>
  <w:style w:type="character" w:styleId="ListLabel18">
    <w:name w:val="ListLabel 18"/>
    <w:qFormat/>
    <w:rPr>
      <w:rFonts w:cs="OpenSymbol;Arial Unicode MS"/>
    </w:rPr>
  </w:style>
  <w:style w:type="paragraph" w:styleId="Titolo">
    <w:name w:val="Titolo"/>
    <w:basedOn w:val="Normal"/>
    <w:next w:val="Corpodeltesto"/>
    <w:qFormat/>
    <w:pPr>
      <w:keepNext w:val="true"/>
      <w:spacing w:before="240" w:after="120"/>
    </w:pPr>
    <w:rPr>
      <w:rFonts w:ascii="Arial" w:hAnsi="Arial" w:eastAsia="Andale Sans UI;Arial Unicode MS" w:cs="Tahoma"/>
      <w:sz w:val="28"/>
      <w:szCs w:val="28"/>
    </w:rPr>
  </w:style>
  <w:style w:type="paragraph" w:styleId="Corpodeltesto">
    <w:name w:val="Body Text"/>
    <w:basedOn w:val="Normal"/>
    <w:pPr>
      <w:spacing w:before="0" w:after="120"/>
    </w:pPr>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LibreOffice/6.1.2.1$Windows_X86_64 LibreOffice_project/65905a128db06ba48db947242809d14d3f9a93fe</Application>
  <Pages>1</Pages>
  <Words>317</Words>
  <Characters>2170</Characters>
  <CharactersWithSpaces>2478</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2021-03-17T14:25:35Z</dcterms:created>
  <dc:creator/>
  <dc:description/>
  <dc:language>it-IT</dc:language>
  <cp:lastModifiedBy/>
  <dcterms:modified xsi:type="dcterms:W3CDTF">2021-03-17T14:23:57Z</dcterms:modified>
  <cp:revision>5</cp:revision>
  <dc:subject/>
  <dc:title/>
</cp:coreProperties>
</file>